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33E8C304" w14:textId="5A803BF4" w:rsidR="001449A5" w:rsidRPr="005456EE" w:rsidRDefault="004B2704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>Consultation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Survey on </w:t>
      </w:r>
      <w:r w:rsidR="00515E36" w:rsidRPr="005456EE">
        <w:rPr>
          <w:rFonts w:ascii="Arial" w:hAnsi="Arial" w:cs="Arial"/>
          <w:b/>
          <w:sz w:val="48"/>
          <w:szCs w:val="48"/>
        </w:rPr>
        <w:br/>
      </w:r>
      <w:r w:rsidR="00F61DCC" w:rsidRPr="005456EE">
        <w:rPr>
          <w:rFonts w:ascii="Arial" w:hAnsi="Arial" w:cs="Arial"/>
          <w:b/>
          <w:sz w:val="48"/>
          <w:szCs w:val="48"/>
        </w:rPr>
        <w:t>MSAC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Application </w:t>
      </w:r>
      <w:r w:rsidR="00A05331">
        <w:rPr>
          <w:rFonts w:ascii="Arial" w:hAnsi="Arial" w:cs="Arial"/>
          <w:b/>
          <w:sz w:val="48"/>
          <w:szCs w:val="48"/>
        </w:rPr>
        <w:t>17</w:t>
      </w:r>
      <w:r w:rsidR="00D83C8D">
        <w:rPr>
          <w:rFonts w:ascii="Arial" w:hAnsi="Arial" w:cs="Arial"/>
          <w:b/>
          <w:sz w:val="48"/>
          <w:szCs w:val="48"/>
        </w:rPr>
        <w:t>24</w:t>
      </w:r>
    </w:p>
    <w:p w14:paraId="1367BA33" w14:textId="4683D29E" w:rsidR="00D83C8D" w:rsidRDefault="00D83C8D" w:rsidP="00AD1900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D83C8D">
        <w:rPr>
          <w:rFonts w:ascii="Arial" w:hAnsi="Arial" w:cs="Arial"/>
          <w:b/>
          <w:sz w:val="28"/>
          <w:szCs w:val="28"/>
        </w:rPr>
        <w:t>Cardiac technical support services provided by industry employed allied health professionals</w:t>
      </w:r>
    </w:p>
    <w:p w14:paraId="2224A917" w14:textId="11F767CA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10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11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12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2A68CBC9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  <w:r w:rsidR="00F2267A">
        <w:rPr>
          <w:sz w:val="20"/>
          <w:szCs w:val="20"/>
        </w:rPr>
        <w:t xml:space="preserve"> </w:t>
      </w:r>
      <w:r w:rsidR="0043169C">
        <w:rPr>
          <w:sz w:val="20"/>
          <w:szCs w:val="20"/>
        </w:rPr>
        <w:t>Ben Harris</w:t>
      </w:r>
    </w:p>
    <w:p w14:paraId="0804F883" w14:textId="6CDED6EB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  <w:r w:rsidR="00F2267A">
        <w:rPr>
          <w:sz w:val="20"/>
          <w:szCs w:val="20"/>
        </w:rPr>
        <w:t xml:space="preserve"> </w:t>
      </w:r>
      <w:r w:rsidR="0043169C">
        <w:rPr>
          <w:sz w:val="20"/>
          <w:szCs w:val="20"/>
        </w:rPr>
        <w:t>ben.harris</w:t>
      </w:r>
      <w:r w:rsidR="00F2267A">
        <w:rPr>
          <w:sz w:val="20"/>
          <w:szCs w:val="20"/>
        </w:rPr>
        <w:t>@pha.org.au</w:t>
      </w:r>
    </w:p>
    <w:p w14:paraId="41BE76BB" w14:textId="6FCA6749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  <w:r w:rsidR="00F2267A">
        <w:rPr>
          <w:sz w:val="20"/>
          <w:szCs w:val="20"/>
        </w:rPr>
        <w:t xml:space="preserve"> (02) 6202 1000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3E920F17" w14:textId="60835E5C" w:rsidR="00E30923" w:rsidRPr="00E30923" w:rsidRDefault="00F2267A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>
        <w:rPr>
          <w:b w:val="0"/>
        </w:rPr>
        <w:instrText xml:space="preserve"> FORMCHECKBOX </w:instrText>
      </w:r>
      <w:r w:rsidR="0089534C">
        <w:rPr>
          <w:b w:val="0"/>
        </w:rPr>
      </w:r>
      <w:r w:rsidR="0089534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3EC9806E" w:rsidR="00643AC3" w:rsidRPr="00F2267A" w:rsidRDefault="00F2267A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Cs/>
          <w:lang w:val="fr-FR"/>
        </w:rPr>
      </w:pPr>
      <w:proofErr w:type="spellStart"/>
      <w:r w:rsidRPr="00F2267A">
        <w:rPr>
          <w:bCs/>
          <w:lang w:val="fr-FR"/>
        </w:rPr>
        <w:t>Private</w:t>
      </w:r>
      <w:proofErr w:type="spellEnd"/>
      <w:r w:rsidRPr="00F2267A">
        <w:rPr>
          <w:bCs/>
          <w:lang w:val="fr-FR"/>
        </w:rPr>
        <w:t xml:space="preserve"> Healthcare Australia</w:t>
      </w: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3D65A66E" w14:textId="31AD079D" w:rsidR="00E30923" w:rsidRDefault="00F2267A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>
        <w:rPr>
          <w:b w:val="0"/>
        </w:rPr>
        <w:instrText xml:space="preserve"> FORMCHECKBOX </w:instrText>
      </w:r>
      <w:r w:rsidR="0089534C">
        <w:rPr>
          <w:b w:val="0"/>
        </w:rPr>
      </w:r>
      <w:r w:rsidR="0089534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33F02E2F" w:rsidR="00367031" w:rsidRPr="00F2267A" w:rsidRDefault="0043169C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  <w:rPr>
          <w:b w:val="0"/>
          <w:bCs/>
        </w:rPr>
      </w:pPr>
      <w:r>
        <w:rPr>
          <w:b w:val="0"/>
          <w:bCs/>
        </w:rPr>
        <w:t>Payor representative</w:t>
      </w: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2D6CF7D5" w:rsidR="00A40E72" w:rsidRPr="00F2267A" w:rsidRDefault="00F2267A" w:rsidP="00F2267A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/>
        <w:contextualSpacing w:val="0"/>
        <w:rPr>
          <w:b w:val="0"/>
          <w:bCs/>
        </w:rPr>
      </w:pPr>
      <w:r w:rsidRPr="00F2267A">
        <w:rPr>
          <w:b w:val="0"/>
          <w:bCs/>
        </w:rPr>
        <w:t>Private Health insurers</w:t>
      </w:r>
      <w:r>
        <w:rPr>
          <w:b w:val="0"/>
          <w:bCs/>
        </w:rPr>
        <w:t xml:space="preserve"> are the major funders of CIEDs implanted annually. Over 16,000 of these devices a year are funded through the private system. </w:t>
      </w: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6FA57B0E" w14:textId="32B66048" w:rsidR="0043169C" w:rsidRDefault="0043169C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The service has value, which is why is already paid for through other mechanisms</w:t>
      </w:r>
      <w:r w:rsidR="00CC545A">
        <w:rPr>
          <w:b w:val="0"/>
          <w:bCs/>
        </w:rPr>
        <w:t xml:space="preserve">. </w:t>
      </w:r>
    </w:p>
    <w:p w14:paraId="7938B855" w14:textId="77777777" w:rsidR="00465BB9" w:rsidRDefault="00465BB9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1B87706A" w14:textId="44905CCB" w:rsidR="00465BB9" w:rsidRDefault="000147B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While the service is already paid for through other mechanisms, CIEDs in the Australian private system attract the world’s highest prices</w:t>
      </w:r>
      <w:r w:rsidR="00810517">
        <w:rPr>
          <w:b w:val="0"/>
          <w:bCs/>
        </w:rPr>
        <w:t xml:space="preserve"> – and more than double the public sector price.</w:t>
      </w:r>
    </w:p>
    <w:p w14:paraId="4368FA46" w14:textId="77777777" w:rsidR="0043169C" w:rsidRDefault="0043169C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42431AF7" w14:textId="01788315" w:rsidR="00352426" w:rsidRDefault="00352426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An expert committee only two years ago found 97% of the services describing in this application were already funded or could be performed by remote monitoring now charged to near 100% of patients leaving hospital.</w:t>
      </w:r>
    </w:p>
    <w:p w14:paraId="44BCC89E" w14:textId="77777777" w:rsidR="002B5A02" w:rsidRDefault="002B5A0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371301CC" w14:textId="5B0B0303" w:rsidR="00E545BD" w:rsidRDefault="002B5A0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The government’s</w:t>
      </w:r>
      <w:r w:rsidR="00522ADD">
        <w:rPr>
          <w:b w:val="0"/>
          <w:bCs/>
        </w:rPr>
        <w:t xml:space="preserve"> </w:t>
      </w:r>
      <w:r w:rsidR="00522ADD" w:rsidRPr="00D160E0">
        <w:rPr>
          <w:b w:val="0"/>
          <w:bCs/>
        </w:rPr>
        <w:t>Cardiac Industry Working Group report</w:t>
      </w:r>
      <w:r w:rsidRPr="00D160E0">
        <w:rPr>
          <w:b w:val="0"/>
          <w:bCs/>
        </w:rPr>
        <w:t xml:space="preserve"> (2020)</w:t>
      </w:r>
      <w:r>
        <w:t xml:space="preserve"> </w:t>
      </w:r>
      <w:r w:rsidR="00F42669">
        <w:rPr>
          <w:b w:val="0"/>
          <w:bCs/>
        </w:rPr>
        <w:t xml:space="preserve">clearly </w:t>
      </w:r>
      <w:r w:rsidR="002F31E4">
        <w:rPr>
          <w:b w:val="0"/>
          <w:bCs/>
        </w:rPr>
        <w:t>stated:</w:t>
      </w:r>
      <w:r w:rsidR="00522ADD">
        <w:rPr>
          <w:b w:val="0"/>
          <w:bCs/>
        </w:rPr>
        <w:t xml:space="preserve"> </w:t>
      </w:r>
    </w:p>
    <w:p w14:paraId="6EAD5907" w14:textId="77777777" w:rsidR="00E545BD" w:rsidRDefault="00E545BD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45F2D8BA" w14:textId="77777777" w:rsidR="00E545BD" w:rsidRDefault="00E545BD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70E892F8" w14:textId="002F9D00" w:rsidR="00205CE8" w:rsidRDefault="00E545BD" w:rsidP="00E545B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jc w:val="center"/>
        <w:rPr>
          <w:b w:val="0"/>
          <w:bCs/>
        </w:rPr>
      </w:pPr>
      <w:r>
        <w:rPr>
          <w:b w:val="0"/>
          <w:bCs/>
          <w:noProof/>
        </w:rPr>
        <w:drawing>
          <wp:inline distT="0" distB="0" distL="0" distR="0" wp14:anchorId="72402433" wp14:editId="3163067A">
            <wp:extent cx="4481830" cy="76682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3"/>
                    <a:stretch/>
                  </pic:blipFill>
                  <pic:spPr bwMode="auto">
                    <a:xfrm>
                      <a:off x="0" y="0"/>
                      <a:ext cx="4537512" cy="776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23EB" w14:textId="77777777" w:rsidR="005362A1" w:rsidRDefault="005362A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4CBB9CDC" w14:textId="56E620B4" w:rsidR="005362A1" w:rsidRPr="002F31E4" w:rsidRDefault="00E545BD" w:rsidP="00E545B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 w:rsidRPr="002F31E4">
        <w:rPr>
          <w:b w:val="0"/>
          <w:bCs/>
        </w:rPr>
        <w:t>Moreover</w:t>
      </w:r>
      <w:r w:rsidR="00961175" w:rsidRPr="002F31E4">
        <w:rPr>
          <w:b w:val="0"/>
          <w:bCs/>
        </w:rPr>
        <w:t>,</w:t>
      </w:r>
      <w:r w:rsidRPr="002F31E4">
        <w:rPr>
          <w:b w:val="0"/>
          <w:bCs/>
        </w:rPr>
        <w:t xml:space="preserve"> the </w:t>
      </w:r>
      <w:r w:rsidR="00810517" w:rsidRPr="002F31E4">
        <w:rPr>
          <w:b w:val="0"/>
          <w:bCs/>
        </w:rPr>
        <w:t xml:space="preserve">report </w:t>
      </w:r>
      <w:r w:rsidRPr="002F31E4">
        <w:rPr>
          <w:b w:val="0"/>
          <w:bCs/>
        </w:rPr>
        <w:t>recognised this model of service provided by the Device Industry was consistent the world over and was not funded through additional payment:</w:t>
      </w:r>
    </w:p>
    <w:p w14:paraId="35D86608" w14:textId="264F7E0C" w:rsidR="00205CE8" w:rsidRDefault="00E545BD" w:rsidP="00B23810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jc w:val="center"/>
      </w:pPr>
      <w:r>
        <w:rPr>
          <w:noProof/>
        </w:rPr>
        <w:drawing>
          <wp:inline distT="0" distB="0" distL="0" distR="0" wp14:anchorId="52A36AC6" wp14:editId="418A2F95">
            <wp:extent cx="4551218" cy="10600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494" cy="107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A2D75" w14:textId="53FE202B" w:rsidR="0050259E" w:rsidRDefault="00C50BF8" w:rsidP="00C50BF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 xml:space="preserve">The MTAA’s claim states that the expert group did not provide any recommendations on a funding mechanism is </w:t>
      </w:r>
      <w:r w:rsidR="00581E0F">
        <w:rPr>
          <w:b w:val="0"/>
          <w:bCs/>
        </w:rPr>
        <w:t>misleading, the report clearly noted that the services were already funded</w:t>
      </w:r>
      <w:r w:rsidR="001A4B8C">
        <w:rPr>
          <w:b w:val="0"/>
          <w:bCs/>
        </w:rPr>
        <w:t>.</w:t>
      </w:r>
    </w:p>
    <w:p w14:paraId="15CA326C" w14:textId="2A3E5F75" w:rsidR="008317BF" w:rsidRPr="00C97B76" w:rsidRDefault="00E545BD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rPr>
          <w:b w:val="0"/>
          <w:bCs/>
        </w:rPr>
      </w:pPr>
      <w:r w:rsidRPr="00C97B76">
        <w:rPr>
          <w:b w:val="0"/>
          <w:bCs/>
        </w:rPr>
        <w:t xml:space="preserve">Private Health Insurers </w:t>
      </w:r>
      <w:r w:rsidR="008317BF" w:rsidRPr="00C97B76">
        <w:rPr>
          <w:b w:val="0"/>
          <w:bCs/>
        </w:rPr>
        <w:t xml:space="preserve">already </w:t>
      </w:r>
      <w:r w:rsidRPr="00C97B76">
        <w:rPr>
          <w:b w:val="0"/>
          <w:bCs/>
        </w:rPr>
        <w:t>fund Remote Monitoring Services</w:t>
      </w:r>
      <w:r w:rsidR="008317BF" w:rsidRPr="00C97B76">
        <w:rPr>
          <w:b w:val="0"/>
          <w:bCs/>
        </w:rPr>
        <w:t>, with a current benefit of $1450 paid</w:t>
      </w:r>
      <w:r w:rsidR="00D75C2D">
        <w:rPr>
          <w:b w:val="0"/>
          <w:bCs/>
        </w:rPr>
        <w:t xml:space="preserve"> for either the monitor or the equivalent software</w:t>
      </w:r>
      <w:r w:rsidRPr="00C97B76">
        <w:rPr>
          <w:b w:val="0"/>
          <w:bCs/>
        </w:rPr>
        <w:t>.</w:t>
      </w:r>
    </w:p>
    <w:p w14:paraId="45D8E632" w14:textId="23A59F03" w:rsidR="002F31E4" w:rsidRDefault="00B23810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rPr>
          <w:b w:val="0"/>
          <w:bCs/>
        </w:rPr>
      </w:pPr>
      <w:r>
        <w:rPr>
          <w:b w:val="0"/>
          <w:bCs/>
        </w:rPr>
        <w:t>M</w:t>
      </w:r>
      <w:r w:rsidR="00F910B5">
        <w:rPr>
          <w:b w:val="0"/>
          <w:bCs/>
        </w:rPr>
        <w:t>SAC/MBS</w:t>
      </w:r>
      <w:r>
        <w:rPr>
          <w:b w:val="0"/>
          <w:bCs/>
        </w:rPr>
        <w:t xml:space="preserve"> 1197</w:t>
      </w:r>
      <w:r w:rsidR="001A4B8C">
        <w:rPr>
          <w:b w:val="0"/>
          <w:bCs/>
        </w:rPr>
        <w:t xml:space="preserve"> </w:t>
      </w:r>
      <w:r w:rsidR="00047D24">
        <w:rPr>
          <w:b w:val="0"/>
          <w:bCs/>
        </w:rPr>
        <w:t>resulted in funding for</w:t>
      </w:r>
      <w:r>
        <w:rPr>
          <w:b w:val="0"/>
          <w:bCs/>
        </w:rPr>
        <w:t xml:space="preserve"> remote </w:t>
      </w:r>
      <w:r w:rsidR="008317BF">
        <w:rPr>
          <w:b w:val="0"/>
          <w:bCs/>
        </w:rPr>
        <w:t>m</w:t>
      </w:r>
      <w:r>
        <w:rPr>
          <w:b w:val="0"/>
          <w:bCs/>
        </w:rPr>
        <w:t xml:space="preserve">onitoring </w:t>
      </w:r>
      <w:r w:rsidR="00047D24">
        <w:rPr>
          <w:b w:val="0"/>
          <w:bCs/>
        </w:rPr>
        <w:t>services by</w:t>
      </w:r>
      <w:r>
        <w:rPr>
          <w:b w:val="0"/>
          <w:bCs/>
        </w:rPr>
        <w:t xml:space="preserve"> </w:t>
      </w:r>
      <w:r w:rsidR="004B44A9">
        <w:rPr>
          <w:b w:val="0"/>
          <w:bCs/>
        </w:rPr>
        <w:t>c</w:t>
      </w:r>
      <w:r>
        <w:rPr>
          <w:b w:val="0"/>
          <w:bCs/>
        </w:rPr>
        <w:t xml:space="preserve">linicians and </w:t>
      </w:r>
      <w:r w:rsidR="00924C82">
        <w:rPr>
          <w:b w:val="0"/>
          <w:bCs/>
        </w:rPr>
        <w:t>Remote Monitoring</w:t>
      </w:r>
      <w:r w:rsidR="00047D24">
        <w:rPr>
          <w:b w:val="0"/>
          <w:bCs/>
        </w:rPr>
        <w:t xml:space="preserve"> funded through the Prostheses List. Consumers currently pay</w:t>
      </w:r>
      <w:r w:rsidR="00313501">
        <w:rPr>
          <w:b w:val="0"/>
          <w:bCs/>
        </w:rPr>
        <w:t xml:space="preserve"> </w:t>
      </w:r>
      <w:r w:rsidR="00924C82">
        <w:rPr>
          <w:b w:val="0"/>
          <w:bCs/>
        </w:rPr>
        <w:t>over $28</w:t>
      </w:r>
      <w:r w:rsidR="00D37339">
        <w:rPr>
          <w:b w:val="0"/>
          <w:bCs/>
        </w:rPr>
        <w:t xml:space="preserve"> million</w:t>
      </w:r>
      <w:r w:rsidR="00924C82">
        <w:rPr>
          <w:b w:val="0"/>
          <w:bCs/>
        </w:rPr>
        <w:t xml:space="preserve"> a year</w:t>
      </w:r>
      <w:r w:rsidR="00313501">
        <w:rPr>
          <w:b w:val="0"/>
          <w:bCs/>
        </w:rPr>
        <w:t xml:space="preserve"> for these services through their private health insurance premiums.</w:t>
      </w:r>
    </w:p>
    <w:p w14:paraId="5F96ECEF" w14:textId="229821D2" w:rsidR="000B686B" w:rsidRPr="002F31E4" w:rsidRDefault="002F31E4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rPr>
          <w:b w:val="0"/>
          <w:bCs/>
        </w:rPr>
      </w:pPr>
      <w:r w:rsidRPr="002F31E4">
        <w:rPr>
          <w:b w:val="0"/>
          <w:bCs/>
        </w:rPr>
        <w:t xml:space="preserve">Cardiac companies are </w:t>
      </w:r>
      <w:r w:rsidR="000B686B" w:rsidRPr="002F31E4">
        <w:rPr>
          <w:b w:val="0"/>
          <w:bCs/>
        </w:rPr>
        <w:t>paid</w:t>
      </w:r>
      <w:r w:rsidR="00F910B5" w:rsidRPr="002F31E4">
        <w:rPr>
          <w:b w:val="0"/>
          <w:bCs/>
        </w:rPr>
        <w:t>-</w:t>
      </w:r>
      <w:r w:rsidR="000B686B" w:rsidRPr="002F31E4">
        <w:rPr>
          <w:b w:val="0"/>
          <w:bCs/>
        </w:rPr>
        <w:t>up front whether the service is delivered or not</w:t>
      </w:r>
      <w:r w:rsidR="00313501">
        <w:rPr>
          <w:b w:val="0"/>
          <w:bCs/>
        </w:rPr>
        <w:t>. The</w:t>
      </w:r>
      <w:r w:rsidR="000B686B" w:rsidRPr="002F31E4">
        <w:rPr>
          <w:b w:val="0"/>
          <w:bCs/>
        </w:rPr>
        <w:t xml:space="preserve"> Cardiac IWG</w:t>
      </w:r>
      <w:r w:rsidR="00313501">
        <w:rPr>
          <w:b w:val="0"/>
          <w:bCs/>
        </w:rPr>
        <w:t xml:space="preserve"> </w:t>
      </w:r>
      <w:proofErr w:type="gramStart"/>
      <w:r w:rsidR="00313501">
        <w:rPr>
          <w:b w:val="0"/>
          <w:bCs/>
        </w:rPr>
        <w:t>noted</w:t>
      </w:r>
      <w:r w:rsidR="000B686B" w:rsidRPr="002F31E4">
        <w:rPr>
          <w:b w:val="0"/>
          <w:bCs/>
        </w:rPr>
        <w:t>;</w:t>
      </w:r>
      <w:proofErr w:type="gramEnd"/>
    </w:p>
    <w:p w14:paraId="427ADD0D" w14:textId="31CA3FC5" w:rsidR="000B686B" w:rsidRDefault="00805CC2" w:rsidP="00805CC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jc w:val="center"/>
        <w:rPr>
          <w:b w:val="0"/>
          <w:bCs/>
        </w:rPr>
      </w:pPr>
      <w:r>
        <w:rPr>
          <w:b w:val="0"/>
          <w:bCs/>
          <w:noProof/>
        </w:rPr>
        <w:drawing>
          <wp:inline distT="0" distB="0" distL="0" distR="0" wp14:anchorId="36FD3C1D" wp14:editId="286415FF">
            <wp:extent cx="4556692" cy="914400"/>
            <wp:effectExtent l="0" t="0" r="3175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485" cy="92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E4B04" w14:textId="2F209CA4" w:rsidR="00805CC2" w:rsidRDefault="00805CC2" w:rsidP="00805CC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jc w:val="center"/>
        <w:rPr>
          <w:b w:val="0"/>
          <w:bCs/>
        </w:rPr>
      </w:pPr>
      <w:r>
        <w:rPr>
          <w:b w:val="0"/>
          <w:bCs/>
          <w:noProof/>
        </w:rPr>
        <w:lastRenderedPageBreak/>
        <w:drawing>
          <wp:inline distT="0" distB="0" distL="0" distR="0" wp14:anchorId="7A2709ED" wp14:editId="5810FE3E">
            <wp:extent cx="4536533" cy="169878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121" cy="17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797F" w14:textId="1FA187DA" w:rsidR="007E0A95" w:rsidRDefault="002F31E4" w:rsidP="00DD08BA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rPr>
          <w:b w:val="0"/>
          <w:bCs/>
        </w:rPr>
      </w:pPr>
      <w:r>
        <w:rPr>
          <w:b w:val="0"/>
          <w:bCs/>
        </w:rPr>
        <w:t>While four</w:t>
      </w:r>
      <w:r w:rsidR="00DD08BA" w:rsidRPr="00DD08BA">
        <w:rPr>
          <w:b w:val="0"/>
          <w:bCs/>
        </w:rPr>
        <w:t xml:space="preserve"> payments streams are proposed by the MTAA</w:t>
      </w:r>
      <w:r>
        <w:rPr>
          <w:b w:val="0"/>
          <w:bCs/>
        </w:rPr>
        <w:t xml:space="preserve"> in their submission</w:t>
      </w:r>
      <w:r w:rsidR="00DD08BA" w:rsidRPr="00DD08BA">
        <w:rPr>
          <w:b w:val="0"/>
          <w:bCs/>
        </w:rPr>
        <w:t xml:space="preserve">, </w:t>
      </w:r>
      <w:r>
        <w:rPr>
          <w:b w:val="0"/>
          <w:bCs/>
        </w:rPr>
        <w:t>the</w:t>
      </w:r>
      <w:r w:rsidR="00D8413A">
        <w:rPr>
          <w:b w:val="0"/>
          <w:bCs/>
        </w:rPr>
        <w:t xml:space="preserve"> preferred option</w:t>
      </w:r>
      <w:r>
        <w:rPr>
          <w:b w:val="0"/>
          <w:bCs/>
        </w:rPr>
        <w:t xml:space="preserve"> is an </w:t>
      </w:r>
      <w:r w:rsidR="00DD08BA">
        <w:rPr>
          <w:b w:val="0"/>
          <w:bCs/>
        </w:rPr>
        <w:t xml:space="preserve">upfront payment levied against </w:t>
      </w:r>
      <w:r w:rsidR="00E634E9">
        <w:rPr>
          <w:b w:val="0"/>
          <w:bCs/>
        </w:rPr>
        <w:t>p</w:t>
      </w:r>
      <w:r w:rsidR="00DD08BA">
        <w:rPr>
          <w:b w:val="0"/>
          <w:bCs/>
        </w:rPr>
        <w:t xml:space="preserve">rivate </w:t>
      </w:r>
      <w:r w:rsidR="00E634E9">
        <w:rPr>
          <w:b w:val="0"/>
          <w:bCs/>
        </w:rPr>
        <w:t>i</w:t>
      </w:r>
      <w:r w:rsidR="00DD08BA">
        <w:rPr>
          <w:b w:val="0"/>
          <w:bCs/>
        </w:rPr>
        <w:t>nsurers via the Prostheses List</w:t>
      </w:r>
      <w:r w:rsidR="00C35F68">
        <w:rPr>
          <w:b w:val="0"/>
          <w:bCs/>
        </w:rPr>
        <w:t>, in addition to the current funding streams</w:t>
      </w:r>
      <w:r w:rsidR="007E0A95">
        <w:rPr>
          <w:b w:val="0"/>
          <w:bCs/>
        </w:rPr>
        <w:t>:</w:t>
      </w:r>
    </w:p>
    <w:p w14:paraId="2009CEB4" w14:textId="77777777" w:rsidR="00FC743B" w:rsidRDefault="007E0A95" w:rsidP="00DD08BA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rPr>
          <w:b w:val="0"/>
          <w:bCs/>
        </w:rPr>
      </w:pPr>
      <w:r>
        <w:rPr>
          <w:b w:val="0"/>
          <w:bCs/>
        </w:rPr>
        <w:t xml:space="preserve">- </w:t>
      </w:r>
      <w:r w:rsidR="00FC743B">
        <w:rPr>
          <w:b w:val="0"/>
          <w:bCs/>
        </w:rPr>
        <w:t>remote monitors through the Prostheses List</w:t>
      </w:r>
    </w:p>
    <w:p w14:paraId="3FA17763" w14:textId="42DBD20F" w:rsidR="007E0A95" w:rsidRDefault="00FC743B" w:rsidP="00DD08BA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rPr>
          <w:b w:val="0"/>
          <w:bCs/>
        </w:rPr>
      </w:pPr>
      <w:r>
        <w:rPr>
          <w:b w:val="0"/>
          <w:bCs/>
        </w:rPr>
        <w:t xml:space="preserve">- </w:t>
      </w:r>
      <w:r w:rsidR="007F3A58">
        <w:rPr>
          <w:b w:val="0"/>
          <w:bCs/>
        </w:rPr>
        <w:t xml:space="preserve"> </w:t>
      </w:r>
      <w:r w:rsidR="007B367F">
        <w:rPr>
          <w:b w:val="0"/>
          <w:bCs/>
        </w:rPr>
        <w:t>additional costs on the primary devices (currently more than double the public price, yet proposed to remain 20% higher than the public price)</w:t>
      </w:r>
      <w:r w:rsidR="00D8413A">
        <w:rPr>
          <w:b w:val="0"/>
          <w:bCs/>
        </w:rPr>
        <w:t>, and</w:t>
      </w:r>
    </w:p>
    <w:p w14:paraId="369693A7" w14:textId="0D95099B" w:rsidR="004B44A9" w:rsidRDefault="004B44A9" w:rsidP="00DD08BA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rPr>
          <w:b w:val="0"/>
          <w:bCs/>
        </w:rPr>
      </w:pPr>
      <w:r>
        <w:rPr>
          <w:b w:val="0"/>
          <w:bCs/>
        </w:rPr>
        <w:t>- MBS payments</w:t>
      </w:r>
      <w:r w:rsidR="00D8413A">
        <w:rPr>
          <w:b w:val="0"/>
          <w:bCs/>
        </w:rPr>
        <w:t xml:space="preserve"> for clinicians’ services</w:t>
      </w:r>
      <w:r w:rsidR="00AF17D2">
        <w:rPr>
          <w:b w:val="0"/>
          <w:bCs/>
        </w:rPr>
        <w:t>.</w:t>
      </w:r>
    </w:p>
    <w:p w14:paraId="276403E0" w14:textId="422C82E9" w:rsidR="007F3A58" w:rsidRDefault="007F3A58" w:rsidP="00DD08BA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rPr>
          <w:b w:val="0"/>
          <w:bCs/>
        </w:rPr>
      </w:pPr>
      <w:r>
        <w:rPr>
          <w:b w:val="0"/>
          <w:bCs/>
        </w:rPr>
        <w:t xml:space="preserve">This </w:t>
      </w:r>
      <w:r w:rsidR="004B44A9">
        <w:rPr>
          <w:b w:val="0"/>
          <w:bCs/>
        </w:rPr>
        <w:t xml:space="preserve">new proposal </w:t>
      </w:r>
      <w:r>
        <w:rPr>
          <w:b w:val="0"/>
          <w:bCs/>
        </w:rPr>
        <w:t xml:space="preserve">is double/triple dipping and should be rejected. </w:t>
      </w:r>
    </w:p>
    <w:p w14:paraId="488DA033" w14:textId="431F6B4B" w:rsidR="002F31E4" w:rsidRDefault="00DD08BA" w:rsidP="00DD08BA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  <w:rPr>
          <w:b w:val="0"/>
          <w:bCs/>
        </w:rPr>
      </w:pPr>
      <w:r>
        <w:rPr>
          <w:b w:val="0"/>
          <w:bCs/>
        </w:rPr>
        <w:t xml:space="preserve"> </w:t>
      </w: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FBC9809" w14:textId="243DE77C" w:rsidR="008C1ECD" w:rsidRDefault="007D7B30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 w:rsidRPr="007D7B30">
        <w:rPr>
          <w:b w:val="0"/>
          <w:bCs/>
        </w:rPr>
        <w:t>There are many down</w:t>
      </w:r>
      <w:r>
        <w:rPr>
          <w:b w:val="0"/>
          <w:bCs/>
        </w:rPr>
        <w:t>side effects of this</w:t>
      </w:r>
      <w:r w:rsidR="00983FB1">
        <w:rPr>
          <w:b w:val="0"/>
          <w:bCs/>
        </w:rPr>
        <w:t xml:space="preserve"> proposal</w:t>
      </w:r>
      <w:r>
        <w:rPr>
          <w:b w:val="0"/>
          <w:bCs/>
        </w:rPr>
        <w:t>, again largely called out in the Cardiac Industry Working Group</w:t>
      </w:r>
      <w:r w:rsidR="00F910B5">
        <w:rPr>
          <w:b w:val="0"/>
          <w:bCs/>
        </w:rPr>
        <w:t xml:space="preserve"> report</w:t>
      </w:r>
      <w:r>
        <w:rPr>
          <w:b w:val="0"/>
          <w:bCs/>
        </w:rPr>
        <w:t xml:space="preserve">. </w:t>
      </w:r>
      <w:r w:rsidR="00AF17D2">
        <w:rPr>
          <w:b w:val="0"/>
          <w:bCs/>
        </w:rPr>
        <w:t>The key disadvantage is that</w:t>
      </w:r>
      <w:r>
        <w:rPr>
          <w:b w:val="0"/>
          <w:bCs/>
        </w:rPr>
        <w:t xml:space="preserve"> </w:t>
      </w:r>
      <w:r w:rsidR="004B44A9">
        <w:rPr>
          <w:b w:val="0"/>
          <w:bCs/>
        </w:rPr>
        <w:t>any additional</w:t>
      </w:r>
      <w:r>
        <w:rPr>
          <w:b w:val="0"/>
          <w:bCs/>
        </w:rPr>
        <w:t xml:space="preserve"> payments </w:t>
      </w:r>
      <w:r w:rsidR="00AF17D2">
        <w:rPr>
          <w:b w:val="0"/>
          <w:bCs/>
        </w:rPr>
        <w:t>would be</w:t>
      </w:r>
      <w:r>
        <w:rPr>
          <w:b w:val="0"/>
          <w:bCs/>
        </w:rPr>
        <w:t xml:space="preserve"> inflationary </w:t>
      </w:r>
      <w:r w:rsidR="00A837ED">
        <w:rPr>
          <w:b w:val="0"/>
          <w:bCs/>
        </w:rPr>
        <w:t>(adding cost with no additional service).</w:t>
      </w:r>
      <w:r>
        <w:rPr>
          <w:b w:val="0"/>
          <w:bCs/>
        </w:rPr>
        <w:t xml:space="preserve"> </w:t>
      </w:r>
    </w:p>
    <w:p w14:paraId="3753C2A9" w14:textId="77777777" w:rsidR="008C1ECD" w:rsidRDefault="008C1ECD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15D64183" w14:textId="77777777" w:rsidR="002D0080" w:rsidRDefault="007D7B30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Second</w:t>
      </w:r>
      <w:r w:rsidR="008C1ECD">
        <w:rPr>
          <w:b w:val="0"/>
          <w:bCs/>
        </w:rPr>
        <w:t>, there is commercial advantage for device companies in providing this service</w:t>
      </w:r>
      <w:r w:rsidR="00E836E1">
        <w:rPr>
          <w:b w:val="0"/>
          <w:bCs/>
        </w:rPr>
        <w:t xml:space="preserve"> – which is why consumers can currently </w:t>
      </w:r>
      <w:r w:rsidR="002D0080">
        <w:rPr>
          <w:b w:val="0"/>
          <w:bCs/>
        </w:rPr>
        <w:t xml:space="preserve">be </w:t>
      </w:r>
      <w:hyperlink r:id="rId17" w:anchor=":~:text=With%20the%20Medtronic%20app%20connected%20pacemakers%2C%20you%20can%20securely%20access,if%20anything%20unexpected%20should%20happen." w:history="1">
        <w:r w:rsidR="00F910B5" w:rsidRPr="00DD08BA">
          <w:rPr>
            <w:rStyle w:val="Hyperlink"/>
          </w:rPr>
          <w:t>signed up for the service for free on</w:t>
        </w:r>
        <w:r w:rsidR="00DD08BA" w:rsidRPr="00DD08BA">
          <w:rPr>
            <w:rStyle w:val="Hyperlink"/>
          </w:rPr>
          <w:t>-</w:t>
        </w:r>
        <w:r w:rsidR="00F910B5" w:rsidRPr="00DD08BA">
          <w:rPr>
            <w:rStyle w:val="Hyperlink"/>
          </w:rPr>
          <w:t>line</w:t>
        </w:r>
      </w:hyperlink>
      <w:r w:rsidR="00F910B5">
        <w:t>.</w:t>
      </w:r>
      <w:r w:rsidRPr="007D7B30">
        <w:t xml:space="preserve"> </w:t>
      </w:r>
    </w:p>
    <w:p w14:paraId="15BBFB2D" w14:textId="77777777" w:rsidR="002D0080" w:rsidRDefault="002D0080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5DCB9876" w14:textId="75E645BA" w:rsidR="007D7B30" w:rsidRDefault="002D0080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Third,</w:t>
      </w:r>
      <w:r w:rsidR="00DB774C">
        <w:rPr>
          <w:b w:val="0"/>
          <w:bCs/>
        </w:rPr>
        <w:t xml:space="preserve"> the services are explicitly funded through the support of a monitor or monitoring software on the Prostheses List</w:t>
      </w:r>
      <w:r w:rsidR="00143399">
        <w:rPr>
          <w:b w:val="0"/>
          <w:bCs/>
        </w:rPr>
        <w:t xml:space="preserve"> (see</w:t>
      </w:r>
      <w:r>
        <w:rPr>
          <w:b w:val="0"/>
          <w:bCs/>
        </w:rPr>
        <w:t xml:space="preserve"> M</w:t>
      </w:r>
      <w:r w:rsidR="00F910B5">
        <w:rPr>
          <w:b w:val="0"/>
          <w:bCs/>
        </w:rPr>
        <w:t>SAC/MBS 1197</w:t>
      </w:r>
      <w:r w:rsidR="00143399">
        <w:rPr>
          <w:b w:val="0"/>
          <w:bCs/>
        </w:rPr>
        <w:t xml:space="preserve">), with a current benefit of $1450. </w:t>
      </w:r>
      <w:r w:rsidR="009D50E3">
        <w:rPr>
          <w:b w:val="0"/>
          <w:bCs/>
        </w:rPr>
        <w:t>Many of these monitors are not used – the MBS data suggest</w:t>
      </w:r>
      <w:r w:rsidR="00F910B5">
        <w:rPr>
          <w:b w:val="0"/>
          <w:bCs/>
        </w:rPr>
        <w:t xml:space="preserve"> actual usage of these devices at 10-20%</w:t>
      </w:r>
      <w:r w:rsidR="00A63E1F">
        <w:rPr>
          <w:b w:val="0"/>
          <w:bCs/>
        </w:rPr>
        <w:t xml:space="preserve">, with MTAA suggesting around 80% usage. </w:t>
      </w:r>
    </w:p>
    <w:p w14:paraId="59E64CE6" w14:textId="77777777" w:rsidR="007D7B30" w:rsidRDefault="007D7B30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27CB2381" w14:textId="0D589FB2" w:rsidR="007D7B30" w:rsidRDefault="007D7B30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The Cardiac IWG</w:t>
      </w:r>
      <w:r w:rsidR="009D50E3">
        <w:rPr>
          <w:b w:val="0"/>
          <w:bCs/>
        </w:rPr>
        <w:t xml:space="preserve"> report</w:t>
      </w:r>
      <w:r>
        <w:rPr>
          <w:b w:val="0"/>
          <w:bCs/>
        </w:rPr>
        <w:t xml:space="preserve"> also notes that </w:t>
      </w:r>
      <w:r w:rsidR="001F1FCD">
        <w:rPr>
          <w:b w:val="0"/>
          <w:bCs/>
        </w:rPr>
        <w:t>device company representatives</w:t>
      </w:r>
      <w:r>
        <w:rPr>
          <w:b w:val="0"/>
          <w:bCs/>
        </w:rPr>
        <w:t xml:space="preserve"> supporting clinicians is a standard practice in Australia across almost every surgical discipline</w:t>
      </w:r>
      <w:r w:rsidR="001F1FCD">
        <w:rPr>
          <w:b w:val="0"/>
          <w:bCs/>
        </w:rPr>
        <w:t>.</w:t>
      </w:r>
      <w:r>
        <w:rPr>
          <w:b w:val="0"/>
          <w:bCs/>
        </w:rPr>
        <w:t xml:space="preserve"> </w:t>
      </w:r>
      <w:r w:rsidRPr="00B00AE5">
        <w:rPr>
          <w:b w:val="0"/>
          <w:bCs/>
        </w:rPr>
        <w:t xml:space="preserve">As the Cardiac IWG stated any funding stream of </w:t>
      </w:r>
      <w:r w:rsidR="00AE2B96">
        <w:rPr>
          <w:b w:val="0"/>
          <w:bCs/>
        </w:rPr>
        <w:t>device company representatives</w:t>
      </w:r>
      <w:r w:rsidRPr="00B00AE5">
        <w:rPr>
          <w:b w:val="0"/>
          <w:bCs/>
        </w:rPr>
        <w:t xml:space="preserve"> doing their jobs would create a precedent for all other reps to be paid to do the job that clinicians and nursing staff are already funded to do. </w:t>
      </w:r>
      <w:r w:rsidR="00B00AE5" w:rsidRPr="00B00AE5">
        <w:rPr>
          <w:b w:val="0"/>
          <w:bCs/>
        </w:rPr>
        <w:t>All the</w:t>
      </w:r>
      <w:r w:rsidR="00F910B5">
        <w:rPr>
          <w:b w:val="0"/>
          <w:bCs/>
        </w:rPr>
        <w:t xml:space="preserve"> evidence suggest</w:t>
      </w:r>
      <w:r w:rsidR="00B00AE5">
        <w:rPr>
          <w:b w:val="0"/>
          <w:bCs/>
        </w:rPr>
        <w:t>s</w:t>
      </w:r>
      <w:r w:rsidR="00F910B5">
        <w:rPr>
          <w:b w:val="0"/>
          <w:bCs/>
        </w:rPr>
        <w:t xml:space="preserve"> </w:t>
      </w:r>
      <w:r w:rsidR="00B00AE5">
        <w:rPr>
          <w:b w:val="0"/>
          <w:bCs/>
        </w:rPr>
        <w:t>device company representatives</w:t>
      </w:r>
      <w:r w:rsidR="00F910B5">
        <w:rPr>
          <w:b w:val="0"/>
          <w:bCs/>
        </w:rPr>
        <w:t xml:space="preserve"> supporting cases is the norm globally</w:t>
      </w:r>
      <w:r w:rsidR="00B00AE5">
        <w:rPr>
          <w:b w:val="0"/>
          <w:bCs/>
        </w:rPr>
        <w:t xml:space="preserve"> – this is not </w:t>
      </w:r>
      <w:r w:rsidR="00F910B5">
        <w:rPr>
          <w:b w:val="0"/>
          <w:bCs/>
        </w:rPr>
        <w:t xml:space="preserve">a unique need in Australia. </w:t>
      </w:r>
    </w:p>
    <w:p w14:paraId="0D3667C7" w14:textId="77777777" w:rsidR="007D7B30" w:rsidRDefault="007D7B30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42503411" w14:textId="63434527" w:rsidR="007D7B30" w:rsidRDefault="00126C7D" w:rsidP="004C548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The Cardiac IWG went on to describe how</w:t>
      </w:r>
      <w:r w:rsidR="00706620">
        <w:rPr>
          <w:b w:val="0"/>
          <w:bCs/>
        </w:rPr>
        <w:t xml:space="preserve"> companies all have external check devices</w:t>
      </w:r>
      <w:r w:rsidR="00DD08BA">
        <w:rPr>
          <w:b w:val="0"/>
          <w:bCs/>
        </w:rPr>
        <w:t xml:space="preserve"> (universal controllers)</w:t>
      </w:r>
      <w:r w:rsidR="00706620">
        <w:rPr>
          <w:b w:val="0"/>
          <w:bCs/>
        </w:rPr>
        <w:t>, that can be provided to the cardiologist or hospital to do these checks. Instead of providing these low</w:t>
      </w:r>
      <w:r w:rsidR="00DD08BA">
        <w:rPr>
          <w:b w:val="0"/>
          <w:bCs/>
        </w:rPr>
        <w:t>-</w:t>
      </w:r>
      <w:r w:rsidR="00706620">
        <w:rPr>
          <w:b w:val="0"/>
          <w:bCs/>
        </w:rPr>
        <w:t>cost</w:t>
      </w:r>
      <w:r w:rsidR="00961175">
        <w:rPr>
          <w:b w:val="0"/>
          <w:bCs/>
        </w:rPr>
        <w:t xml:space="preserve"> </w:t>
      </w:r>
      <w:proofErr w:type="gramStart"/>
      <w:r w:rsidR="00961175">
        <w:rPr>
          <w:b w:val="0"/>
          <w:bCs/>
        </w:rPr>
        <w:t>one off</w:t>
      </w:r>
      <w:proofErr w:type="gramEnd"/>
      <w:r w:rsidR="00706620">
        <w:rPr>
          <w:b w:val="0"/>
          <w:bCs/>
        </w:rPr>
        <w:t xml:space="preserve"> items that would avoid the need to attend these checks</w:t>
      </w:r>
      <w:r w:rsidR="00DD08BA">
        <w:rPr>
          <w:b w:val="0"/>
          <w:bCs/>
        </w:rPr>
        <w:t xml:space="preserve"> and could be used on all patients by that clinician</w:t>
      </w:r>
      <w:r w:rsidR="00961175">
        <w:rPr>
          <w:b w:val="0"/>
          <w:bCs/>
        </w:rPr>
        <w:t xml:space="preserve">, </w:t>
      </w:r>
      <w:r w:rsidR="00605C6C">
        <w:rPr>
          <w:b w:val="0"/>
          <w:bCs/>
        </w:rPr>
        <w:t>the companies are focused on sending their staff out to these checks to ensure their marketing presence.</w:t>
      </w:r>
      <w:r w:rsidR="00706620">
        <w:rPr>
          <w:b w:val="0"/>
          <w:bCs/>
        </w:rPr>
        <w:t xml:space="preserve"> </w:t>
      </w:r>
    </w:p>
    <w:p w14:paraId="44525052" w14:textId="77777777" w:rsidR="004C5485" w:rsidRDefault="004C5485" w:rsidP="004C548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36EEE9C9" w14:textId="1F8D6CB9" w:rsidR="00406A3C" w:rsidRDefault="00B72E6B" w:rsidP="004C548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 xml:space="preserve">The MTAA submission notes that they were asked to put this proposal to MSAC </w:t>
      </w:r>
      <w:r w:rsidR="00EC0E93">
        <w:rPr>
          <w:b w:val="0"/>
          <w:bCs/>
        </w:rPr>
        <w:t xml:space="preserve">as part of the Memorandum of Understanding between the previous Minister and the multinational device companies (the MoU). </w:t>
      </w:r>
      <w:r w:rsidR="004E0909">
        <w:rPr>
          <w:b w:val="0"/>
          <w:bCs/>
        </w:rPr>
        <w:t>The application also seeks to redefine the task</w:t>
      </w:r>
      <w:r w:rsidR="00406A3C">
        <w:rPr>
          <w:b w:val="0"/>
          <w:bCs/>
        </w:rPr>
        <w:t xml:space="preserve"> to determine the total value of the services, rather than the added value of the services. </w:t>
      </w:r>
    </w:p>
    <w:p w14:paraId="586EE4C6" w14:textId="5BC6F8D7" w:rsidR="00DC2B56" w:rsidRDefault="004E0909" w:rsidP="004C548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lastRenderedPageBreak/>
        <w:t xml:space="preserve">The </w:t>
      </w:r>
      <w:r w:rsidR="00EC0E93">
        <w:rPr>
          <w:b w:val="0"/>
          <w:bCs/>
        </w:rPr>
        <w:t xml:space="preserve">MoU </w:t>
      </w:r>
      <w:r w:rsidR="00034719">
        <w:rPr>
          <w:b w:val="0"/>
          <w:bCs/>
        </w:rPr>
        <w:t xml:space="preserve">provided a </w:t>
      </w:r>
      <w:r w:rsidR="004667F9">
        <w:rPr>
          <w:b w:val="0"/>
          <w:bCs/>
        </w:rPr>
        <w:t xml:space="preserve">delay in benefit reductions </w:t>
      </w:r>
      <w:r w:rsidR="00DC2B56" w:rsidRPr="00DC2B56">
        <w:rPr>
          <w:b w:val="0"/>
          <w:bCs/>
        </w:rPr>
        <w:t>to allow for MSAC deliberations on the value of the technical support services.</w:t>
      </w:r>
      <w:r w:rsidR="00794B52">
        <w:rPr>
          <w:b w:val="0"/>
          <w:bCs/>
        </w:rPr>
        <w:t xml:space="preserve"> Overall, </w:t>
      </w:r>
      <w:r w:rsidR="009206ED">
        <w:rPr>
          <w:b w:val="0"/>
          <w:bCs/>
        </w:rPr>
        <w:t xml:space="preserve">this delay contributes to </w:t>
      </w:r>
      <w:r w:rsidR="00AE41B6">
        <w:rPr>
          <w:b w:val="0"/>
          <w:bCs/>
        </w:rPr>
        <w:t xml:space="preserve">over $300 million more for CIEDs </w:t>
      </w:r>
      <w:r w:rsidR="009F7044">
        <w:rPr>
          <w:b w:val="0"/>
          <w:bCs/>
        </w:rPr>
        <w:t xml:space="preserve">consumers will be required to pay </w:t>
      </w:r>
      <w:r w:rsidR="00AE41B6">
        <w:rPr>
          <w:b w:val="0"/>
          <w:bCs/>
        </w:rPr>
        <w:t xml:space="preserve">than the same devices in the public sector over </w:t>
      </w:r>
      <w:r w:rsidR="00975FFB">
        <w:rPr>
          <w:b w:val="0"/>
          <w:bCs/>
        </w:rPr>
        <w:t xml:space="preserve">four years. The MoU allows for a </w:t>
      </w:r>
      <w:r w:rsidR="009F7044">
        <w:rPr>
          <w:b w:val="0"/>
          <w:bCs/>
        </w:rPr>
        <w:t xml:space="preserve">final price including a </w:t>
      </w:r>
      <w:r w:rsidR="00BF2D63">
        <w:rPr>
          <w:b w:val="0"/>
          <w:bCs/>
        </w:rPr>
        <w:t>20% surcharge on all CIEDs for private patients</w:t>
      </w:r>
      <w:r w:rsidR="00A03C8D">
        <w:rPr>
          <w:b w:val="0"/>
          <w:bCs/>
        </w:rPr>
        <w:t xml:space="preserve"> above the public sector prices for these devices. </w:t>
      </w:r>
    </w:p>
    <w:p w14:paraId="5D7864FF" w14:textId="77777777" w:rsidR="00A03C8D" w:rsidRDefault="00A03C8D" w:rsidP="004C548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75F884DD" w14:textId="6DD140A0" w:rsidR="00A03C8D" w:rsidRDefault="00A03C8D" w:rsidP="004C548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The application seeks a further payment on top of this 20% surcharge</w:t>
      </w:r>
      <w:r w:rsidR="00A94160">
        <w:rPr>
          <w:b w:val="0"/>
          <w:bCs/>
        </w:rPr>
        <w:t>,</w:t>
      </w:r>
      <w:r w:rsidR="000C6DEB">
        <w:rPr>
          <w:b w:val="0"/>
          <w:bCs/>
        </w:rPr>
        <w:t xml:space="preserve"> which was put in place to account for the services provided by sponsors in addition to any services provided to the public sector. </w:t>
      </w:r>
      <w:r w:rsidR="00A94160">
        <w:rPr>
          <w:b w:val="0"/>
          <w:bCs/>
        </w:rPr>
        <w:t xml:space="preserve">MSAC may wish to consider why private patients are required to pay double the </w:t>
      </w:r>
      <w:r w:rsidR="00533236">
        <w:rPr>
          <w:b w:val="0"/>
          <w:bCs/>
        </w:rPr>
        <w:t>public price for CIEDs this year and next, and 20% more than the public price in year four of the MTAA MoU</w:t>
      </w:r>
      <w:r w:rsidR="0071733F">
        <w:rPr>
          <w:b w:val="0"/>
          <w:bCs/>
        </w:rPr>
        <w:t>; and</w:t>
      </w:r>
      <w:r w:rsidR="002C4A25">
        <w:rPr>
          <w:b w:val="0"/>
          <w:bCs/>
        </w:rPr>
        <w:t xml:space="preserve"> why </w:t>
      </w:r>
      <w:r w:rsidR="00BB6192">
        <w:rPr>
          <w:b w:val="0"/>
          <w:bCs/>
        </w:rPr>
        <w:t xml:space="preserve">MSAC should grant additional funding on top of the existing surcharge. </w:t>
      </w:r>
    </w:p>
    <w:p w14:paraId="5BE2B705" w14:textId="77777777" w:rsidR="009A0A4D" w:rsidRDefault="009A0A4D" w:rsidP="004C548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7DDC155C" w14:textId="186836D5" w:rsidR="009A0A4D" w:rsidRPr="005C4FD6" w:rsidRDefault="009A0A4D" w:rsidP="009A0A4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 xml:space="preserve">CIEDs in the private sector are more than twice as expensive </w:t>
      </w:r>
      <w:r w:rsidR="004607A9">
        <w:rPr>
          <w:b w:val="0"/>
          <w:bCs/>
        </w:rPr>
        <w:t>as the same devices in the public sector, per IHACPA data. Even the public sector prices are high compared to international benchmarks</w:t>
      </w:r>
      <w:r w:rsidR="00680F8D">
        <w:rPr>
          <w:b w:val="0"/>
          <w:bCs/>
        </w:rPr>
        <w:t xml:space="preserve">. </w:t>
      </w:r>
      <w:r w:rsidRPr="005C4FD6">
        <w:rPr>
          <w:b w:val="0"/>
          <w:bCs/>
        </w:rPr>
        <w:t>A</w:t>
      </w:r>
      <w:r>
        <w:rPr>
          <w:b w:val="0"/>
          <w:bCs/>
        </w:rPr>
        <w:t xml:space="preserve"> February 2022 review conducted by Evaluate</w:t>
      </w:r>
      <w:r>
        <w:rPr>
          <w:rStyle w:val="FootnoteReference"/>
          <w:b w:val="0"/>
          <w:bCs/>
        </w:rPr>
        <w:footnoteReference w:id="1"/>
      </w:r>
      <w:r>
        <w:rPr>
          <w:b w:val="0"/>
          <w:bCs/>
        </w:rPr>
        <w:t xml:space="preserve"> (supplied) in partnerships with </w:t>
      </w:r>
      <w:proofErr w:type="spellStart"/>
      <w:r>
        <w:rPr>
          <w:b w:val="0"/>
          <w:bCs/>
        </w:rPr>
        <w:t>XMEDiQ</w:t>
      </w:r>
      <w:proofErr w:type="spellEnd"/>
      <w:r>
        <w:rPr>
          <w:b w:val="0"/>
          <w:bCs/>
        </w:rPr>
        <w:t xml:space="preserve"> (Europe) and Discovery Health South Africa found the </w:t>
      </w:r>
      <w:r w:rsidR="00680F8D">
        <w:rPr>
          <w:b w:val="0"/>
          <w:bCs/>
        </w:rPr>
        <w:t>four</w:t>
      </w:r>
      <w:r>
        <w:rPr>
          <w:b w:val="0"/>
          <w:bCs/>
        </w:rPr>
        <w:t xml:space="preserve"> leading (HCP1 volume) Dual Camber Pacemakers from Medtronic, Abbott, Boston and </w:t>
      </w:r>
      <w:proofErr w:type="spellStart"/>
      <w:r>
        <w:rPr>
          <w:b w:val="0"/>
          <w:bCs/>
        </w:rPr>
        <w:t>Biotronik</w:t>
      </w:r>
      <w:proofErr w:type="spellEnd"/>
      <w:r>
        <w:rPr>
          <w:b w:val="0"/>
          <w:bCs/>
        </w:rPr>
        <w:t xml:space="preserve"> were sold at multiples on the Private Health System (PL) over the average price of the exact same code across 8 comparable </w:t>
      </w:r>
      <w:proofErr w:type="gramStart"/>
      <w:r>
        <w:rPr>
          <w:b w:val="0"/>
          <w:bCs/>
        </w:rPr>
        <w:t>International</w:t>
      </w:r>
      <w:proofErr w:type="gramEnd"/>
      <w:r>
        <w:rPr>
          <w:b w:val="0"/>
          <w:bCs/>
        </w:rPr>
        <w:t xml:space="preserve"> markets across Europe, South Africa and NZ.      </w:t>
      </w:r>
    </w:p>
    <w:p w14:paraId="7F2C65D3" w14:textId="77777777" w:rsidR="009A0A4D" w:rsidRDefault="009A0A4D" w:rsidP="009A0A4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DBFF3F" w14:textId="654B5626" w:rsidR="009A0A4D" w:rsidRDefault="009A0A4D" w:rsidP="009A0A4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 w:rsidRPr="005C4FD6">
        <w:rPr>
          <w:noProof/>
        </w:rPr>
        <w:drawing>
          <wp:inline distT="0" distB="0" distL="0" distR="0" wp14:anchorId="1634CB72" wp14:editId="026D8D83">
            <wp:extent cx="5670550" cy="803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30316"/>
                    <a:stretch/>
                  </pic:blipFill>
                  <pic:spPr bwMode="auto">
                    <a:xfrm>
                      <a:off x="0" y="0"/>
                      <a:ext cx="5732077" cy="81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9D8DD" w14:textId="08BF169C" w:rsidR="00CE11C4" w:rsidRDefault="00CE11C4" w:rsidP="00B7258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 xml:space="preserve">The costs of the devices are excessive. </w:t>
      </w:r>
    </w:p>
    <w:p w14:paraId="323079D8" w14:textId="77777777" w:rsidR="00CE11C4" w:rsidRDefault="00CE11C4" w:rsidP="00B7258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0F22D463" w14:textId="77777777" w:rsidR="009936B5" w:rsidRDefault="00CA734F" w:rsidP="00B7258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The</w:t>
      </w:r>
      <w:r w:rsidR="00E37B85">
        <w:rPr>
          <w:b w:val="0"/>
          <w:bCs/>
        </w:rPr>
        <w:t xml:space="preserve"> amount of funding being sought in the application </w:t>
      </w:r>
      <w:r w:rsidR="00CE11C4">
        <w:rPr>
          <w:b w:val="0"/>
          <w:bCs/>
        </w:rPr>
        <w:t xml:space="preserve">for support services also </w:t>
      </w:r>
      <w:r w:rsidR="00E37B85">
        <w:rPr>
          <w:b w:val="0"/>
          <w:bCs/>
        </w:rPr>
        <w:t>seems excessive. The</w:t>
      </w:r>
      <w:r w:rsidR="007D7B30">
        <w:rPr>
          <w:b w:val="0"/>
          <w:bCs/>
        </w:rPr>
        <w:t xml:space="preserve"> Cardiac IWG review</w:t>
      </w:r>
      <w:r w:rsidR="008A0495">
        <w:rPr>
          <w:b w:val="0"/>
          <w:bCs/>
        </w:rPr>
        <w:t>,</w:t>
      </w:r>
      <w:r w:rsidR="007D7B30">
        <w:rPr>
          <w:b w:val="0"/>
          <w:bCs/>
        </w:rPr>
        <w:t xml:space="preserve"> </w:t>
      </w:r>
      <w:proofErr w:type="spellStart"/>
      <w:r w:rsidR="00E37B85">
        <w:rPr>
          <w:b w:val="0"/>
          <w:bCs/>
        </w:rPr>
        <w:t>utiliis</w:t>
      </w:r>
      <w:r w:rsidR="008A0495">
        <w:rPr>
          <w:b w:val="0"/>
          <w:bCs/>
        </w:rPr>
        <w:t>ing</w:t>
      </w:r>
      <w:proofErr w:type="spellEnd"/>
      <w:r w:rsidR="008A0495">
        <w:rPr>
          <w:b w:val="0"/>
          <w:bCs/>
        </w:rPr>
        <w:t xml:space="preserve"> </w:t>
      </w:r>
      <w:r w:rsidR="007D7B30">
        <w:rPr>
          <w:b w:val="0"/>
          <w:bCs/>
        </w:rPr>
        <w:t>data provided by the MTAA and the Department</w:t>
      </w:r>
      <w:r w:rsidR="008A0495">
        <w:rPr>
          <w:b w:val="0"/>
          <w:bCs/>
        </w:rPr>
        <w:t>,</w:t>
      </w:r>
      <w:r w:rsidR="007D7B30">
        <w:rPr>
          <w:b w:val="0"/>
          <w:bCs/>
        </w:rPr>
        <w:t xml:space="preserve"> found on average between 1 and 2 patient contacts of cardiac services are provided per year per </w:t>
      </w:r>
      <w:r w:rsidR="002D382D">
        <w:rPr>
          <w:b w:val="0"/>
          <w:bCs/>
        </w:rPr>
        <w:t>patient</w:t>
      </w:r>
      <w:r w:rsidR="007D7B30">
        <w:rPr>
          <w:b w:val="0"/>
          <w:bCs/>
        </w:rPr>
        <w:t xml:space="preserve">, with an </w:t>
      </w:r>
      <w:r w:rsidR="007D7B30" w:rsidRPr="008A0495">
        <w:rPr>
          <w:b w:val="0"/>
          <w:bCs/>
        </w:rPr>
        <w:t>average of 1.4</w:t>
      </w:r>
      <w:r w:rsidR="007D7B30">
        <w:rPr>
          <w:b w:val="0"/>
          <w:bCs/>
        </w:rPr>
        <w:t xml:space="preserve">. </w:t>
      </w:r>
      <w:r w:rsidR="008A0495">
        <w:rPr>
          <w:b w:val="0"/>
          <w:bCs/>
        </w:rPr>
        <w:t>CIEDs</w:t>
      </w:r>
      <w:r w:rsidR="007D7B30">
        <w:rPr>
          <w:b w:val="0"/>
          <w:bCs/>
        </w:rPr>
        <w:t xml:space="preserve"> routinely have a maximum 10-year life expectancy </w:t>
      </w:r>
      <w:r w:rsidR="008A0495">
        <w:rPr>
          <w:b w:val="0"/>
          <w:bCs/>
        </w:rPr>
        <w:t>(with a lower average given replacements and deaths)</w:t>
      </w:r>
      <w:r w:rsidR="007D7B30">
        <w:rPr>
          <w:b w:val="0"/>
          <w:bCs/>
        </w:rPr>
        <w:t xml:space="preserve">. </w:t>
      </w:r>
      <w:r w:rsidR="008A0495">
        <w:rPr>
          <w:b w:val="0"/>
          <w:bCs/>
        </w:rPr>
        <w:t xml:space="preserve">The </w:t>
      </w:r>
      <w:r w:rsidR="007D7B30">
        <w:rPr>
          <w:b w:val="0"/>
          <w:bCs/>
        </w:rPr>
        <w:t>MTAA data showed was that the most common place where services were provided were in outpatient clinics (annual checks) where it is likely 10</w:t>
      </w:r>
      <w:r w:rsidR="00961175">
        <w:rPr>
          <w:b w:val="0"/>
          <w:bCs/>
        </w:rPr>
        <w:t>+</w:t>
      </w:r>
      <w:r w:rsidR="007D7B30">
        <w:rPr>
          <w:b w:val="0"/>
          <w:bCs/>
        </w:rPr>
        <w:t xml:space="preserve"> people would have their readings checked over the space of 60-90 minutes. </w:t>
      </w:r>
    </w:p>
    <w:p w14:paraId="4F6238F2" w14:textId="77777777" w:rsidR="009936B5" w:rsidRDefault="009936B5" w:rsidP="00B7258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40448280" w14:textId="18714CF3" w:rsidR="009348D2" w:rsidRDefault="009D510B" w:rsidP="00B7258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The services</w:t>
      </w:r>
      <w:r w:rsidR="009936B5">
        <w:rPr>
          <w:b w:val="0"/>
          <w:bCs/>
        </w:rPr>
        <w:t xml:space="preserve"> described</w:t>
      </w:r>
      <w:r>
        <w:rPr>
          <w:b w:val="0"/>
          <w:bCs/>
        </w:rPr>
        <w:t xml:space="preserve"> seem to equate to an average 14 x </w:t>
      </w:r>
      <w:proofErr w:type="gramStart"/>
      <w:r>
        <w:rPr>
          <w:b w:val="0"/>
          <w:bCs/>
        </w:rPr>
        <w:t>6 minute</w:t>
      </w:r>
      <w:proofErr w:type="gramEnd"/>
      <w:r>
        <w:rPr>
          <w:b w:val="0"/>
          <w:bCs/>
        </w:rPr>
        <w:t xml:space="preserve"> patient investigations over the life of the device. </w:t>
      </w:r>
      <w:r w:rsidR="009348D2">
        <w:rPr>
          <w:b w:val="0"/>
          <w:bCs/>
        </w:rPr>
        <w:t xml:space="preserve">Yet the application suggests costs </w:t>
      </w:r>
      <w:proofErr w:type="gramStart"/>
      <w:r w:rsidR="009348D2">
        <w:rPr>
          <w:b w:val="0"/>
          <w:bCs/>
        </w:rPr>
        <w:t>in excess of</w:t>
      </w:r>
      <w:proofErr w:type="gramEnd"/>
      <w:r w:rsidR="009348D2">
        <w:rPr>
          <w:b w:val="0"/>
          <w:bCs/>
        </w:rPr>
        <w:t xml:space="preserve"> $100 million </w:t>
      </w:r>
      <w:r w:rsidR="009936B5">
        <w:rPr>
          <w:b w:val="0"/>
          <w:bCs/>
        </w:rPr>
        <w:t xml:space="preserve">per annum </w:t>
      </w:r>
      <w:r w:rsidR="009348D2">
        <w:rPr>
          <w:b w:val="0"/>
          <w:bCs/>
        </w:rPr>
        <w:t xml:space="preserve">for these services. </w:t>
      </w:r>
      <w:r w:rsidR="00F26973">
        <w:rPr>
          <w:b w:val="0"/>
          <w:bCs/>
        </w:rPr>
        <w:t xml:space="preserve">The economic analysis provided suggests that the surgeon and rep drive all the way to a hospital to do one check and then go home calculating all the hours taken as one incident. More likely is that the specialist allocates a set period each week, to perform annual or bi-annual device checks depending on the patient’s history which involves </w:t>
      </w:r>
      <w:proofErr w:type="gramStart"/>
      <w:r w:rsidR="00F26973">
        <w:rPr>
          <w:b w:val="0"/>
          <w:bCs/>
        </w:rPr>
        <w:t>a number of</w:t>
      </w:r>
      <w:proofErr w:type="gramEnd"/>
      <w:r w:rsidR="00F26973">
        <w:rPr>
          <w:b w:val="0"/>
          <w:bCs/>
        </w:rPr>
        <w:t xml:space="preserve"> patients per session. </w:t>
      </w:r>
      <w:r w:rsidR="00BA1D7C">
        <w:rPr>
          <w:b w:val="0"/>
          <w:bCs/>
        </w:rPr>
        <w:t>There are benefits of scale that are not accounted for, putting aside the fact that the services are already funded</w:t>
      </w:r>
      <w:r w:rsidR="008F16DE">
        <w:rPr>
          <w:b w:val="0"/>
          <w:bCs/>
        </w:rPr>
        <w:t xml:space="preserve">. </w:t>
      </w:r>
    </w:p>
    <w:p w14:paraId="0AA0EB38" w14:textId="77777777" w:rsidR="00F26973" w:rsidRDefault="00F26973" w:rsidP="00B7258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05D2986F" w14:textId="020AD7DF" w:rsidR="00F26973" w:rsidRDefault="00F26973" w:rsidP="00F2697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  <w:r>
        <w:rPr>
          <w:b w:val="0"/>
          <w:bCs/>
        </w:rPr>
        <w:t xml:space="preserve">PHA has no concerns about the qualifications of staff undertaking these assessments, but notes that the qualifications of many do not meet common definitions of allied health professionals. </w:t>
      </w:r>
    </w:p>
    <w:p w14:paraId="0ED7BF4D" w14:textId="77777777" w:rsidR="00F26973" w:rsidRDefault="00F26973" w:rsidP="00B7258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546339AE" w14:textId="77777777" w:rsidR="00F62944" w:rsidRDefault="00F62944" w:rsidP="00B7258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benefits can you see from having this intervention </w:t>
      </w:r>
      <w:proofErr w:type="spellStart"/>
      <w:r>
        <w:t>publically</w:t>
      </w:r>
      <w:proofErr w:type="spellEnd"/>
      <w:r>
        <w:t xml:space="preserve">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0AFAA48" w:rsidR="001F5F93" w:rsidRPr="00124A1D" w:rsidRDefault="00D1023E" w:rsidP="00124A1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N</w:t>
      </w:r>
      <w:r w:rsidR="00EA782B">
        <w:rPr>
          <w:b w:val="0"/>
          <w:bCs/>
        </w:rPr>
        <w:t>il</w:t>
      </w:r>
      <w:r>
        <w:rPr>
          <w:b w:val="0"/>
          <w:bCs/>
        </w:rPr>
        <w:t xml:space="preserve">. </w:t>
      </w:r>
    </w:p>
    <w:p w14:paraId="65C853BB" w14:textId="77777777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spellStart"/>
      <w:proofErr w:type="gramStart"/>
      <w:r>
        <w:t>eg</w:t>
      </w:r>
      <w:proofErr w:type="spellEnd"/>
      <w:proofErr w:type="gramEnd"/>
      <w:r>
        <w:t xml:space="preserve"> Dietician, Pathology etc?</w:t>
      </w:r>
    </w:p>
    <w:p w14:paraId="2D933D46" w14:textId="54D249AB" w:rsidR="009E67A8" w:rsidRDefault="00485376" w:rsidP="0048537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  <w:r>
        <w:rPr>
          <w:b w:val="0"/>
          <w:bCs/>
        </w:rPr>
        <w:t>n/a</w:t>
      </w:r>
    </w:p>
    <w:p w14:paraId="12365EA9" w14:textId="77777777" w:rsidR="0040785E" w:rsidRPr="0040785E" w:rsidRDefault="0040785E" w:rsidP="0040785E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  <w:rPr>
          <w:b w:val="0"/>
          <w:bCs/>
        </w:rPr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77777777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14:paraId="5FFF0757" w14:textId="296BB3DA" w:rsidR="00E30923" w:rsidRDefault="00E3025D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>
        <w:rPr>
          <w:b w:val="0"/>
          <w:color w:val="000000" w:themeColor="text1"/>
        </w:rPr>
        <w:instrText xml:space="preserve"> FORMCHECKBOX </w:instrText>
      </w:r>
      <w:r w:rsidR="0089534C">
        <w:rPr>
          <w:b w:val="0"/>
          <w:color w:val="000000" w:themeColor="text1"/>
        </w:rPr>
      </w:r>
      <w:r w:rsidR="0089534C">
        <w:rPr>
          <w:b w:val="0"/>
          <w:color w:val="000000" w:themeColor="text1"/>
        </w:rPr>
        <w:fldChar w:fldCharType="separate"/>
      </w:r>
      <w:r>
        <w:rPr>
          <w:b w:val="0"/>
          <w:color w:val="000000" w:themeColor="text1"/>
        </w:rPr>
        <w:fldChar w:fldCharType="end"/>
      </w:r>
      <w:r w:rsidR="00E30923" w:rsidRPr="005C4FD6">
        <w:rPr>
          <w:color w:val="000000" w:themeColor="text1"/>
        </w:rPr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52EB37A0" w14:textId="709C2A06" w:rsidR="00205CE8" w:rsidRDefault="00B6619E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  <w:r>
        <w:rPr>
          <w:b w:val="0"/>
          <w:bCs/>
        </w:rPr>
        <w:t>n/a</w:t>
      </w: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77777777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14:paraId="61C6DA00" w14:textId="262D6599" w:rsidR="00E30923" w:rsidRPr="00E46387" w:rsidRDefault="00E3025D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>
        <w:rPr>
          <w:b w:val="0"/>
        </w:rPr>
        <w:instrText xml:space="preserve"> FORMCHECKBOX </w:instrText>
      </w:r>
      <w:r w:rsidR="0089534C">
        <w:rPr>
          <w:b w:val="0"/>
        </w:rPr>
      </w:r>
      <w:r w:rsidR="0089534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7842035F" w14:textId="127079E0" w:rsidR="00205CE8" w:rsidRDefault="00E3025D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  <w:r w:rsidRPr="00E3025D">
        <w:rPr>
          <w:b w:val="0"/>
          <w:bCs/>
        </w:rPr>
        <w:t>As noted</w:t>
      </w:r>
      <w:r w:rsidR="00B6619E">
        <w:rPr>
          <w:b w:val="0"/>
          <w:bCs/>
        </w:rPr>
        <w:t xml:space="preserve">, </w:t>
      </w:r>
      <w:r w:rsidRPr="00E3025D">
        <w:rPr>
          <w:b w:val="0"/>
          <w:bCs/>
        </w:rPr>
        <w:t xml:space="preserve">97% of all services have already been determined to have a funding stream attached paid for by taxpayers and Private </w:t>
      </w:r>
      <w:r w:rsidR="00124A1D">
        <w:rPr>
          <w:b w:val="0"/>
          <w:bCs/>
        </w:rPr>
        <w:t>H</w:t>
      </w:r>
      <w:r w:rsidRPr="00E3025D">
        <w:rPr>
          <w:b w:val="0"/>
          <w:bCs/>
        </w:rPr>
        <w:t xml:space="preserve">ealth </w:t>
      </w:r>
      <w:r w:rsidR="00124A1D">
        <w:rPr>
          <w:b w:val="0"/>
          <w:bCs/>
        </w:rPr>
        <w:t>I</w:t>
      </w:r>
      <w:r w:rsidRPr="00E3025D">
        <w:rPr>
          <w:b w:val="0"/>
          <w:bCs/>
        </w:rPr>
        <w:t>nsurers</w:t>
      </w:r>
      <w:r w:rsidR="00B6619E">
        <w:rPr>
          <w:b w:val="0"/>
          <w:bCs/>
        </w:rPr>
        <w:t xml:space="preserve"> – </w:t>
      </w:r>
      <w:r w:rsidR="008F16DE">
        <w:rPr>
          <w:b w:val="0"/>
          <w:bCs/>
        </w:rPr>
        <w:t>the application</w:t>
      </w:r>
      <w:r w:rsidR="00B6619E">
        <w:rPr>
          <w:b w:val="0"/>
          <w:bCs/>
        </w:rPr>
        <w:t xml:space="preserve"> is a claim for duplicate funding. </w:t>
      </w: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77777777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14:paraId="76C8D745" w14:textId="4684F560" w:rsidR="00C3562F" w:rsidRDefault="00E3025D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>
        <w:rPr>
          <w:b w:val="0"/>
        </w:rPr>
        <w:instrText xml:space="preserve"> FORMCHECKBOX </w:instrText>
      </w:r>
      <w:r w:rsidR="0089534C">
        <w:rPr>
          <w:b w:val="0"/>
        </w:rPr>
      </w:r>
      <w:r w:rsidR="0089534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34E8F248" w14:textId="623C9296" w:rsidR="00205CE8" w:rsidRDefault="00B6619E" w:rsidP="008F16DE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  <w:rPr>
          <w:b w:val="0"/>
          <w:bCs/>
        </w:rPr>
      </w:pPr>
      <w:r>
        <w:rPr>
          <w:b w:val="0"/>
          <w:bCs/>
        </w:rPr>
        <w:t xml:space="preserve">The comparators include </w:t>
      </w:r>
      <w:r w:rsidR="00C001DD">
        <w:rPr>
          <w:b w:val="0"/>
          <w:bCs/>
        </w:rPr>
        <w:t xml:space="preserve">the existing funding streams </w:t>
      </w:r>
      <w:r w:rsidR="008F16DE">
        <w:rPr>
          <w:b w:val="0"/>
          <w:bCs/>
        </w:rPr>
        <w:t>which already cover</w:t>
      </w:r>
      <w:r w:rsidR="00C001DD">
        <w:rPr>
          <w:b w:val="0"/>
          <w:bCs/>
        </w:rPr>
        <w:t xml:space="preserve"> 97% of the nominated services, and the surcharges on the primary CIED items. </w:t>
      </w:r>
    </w:p>
    <w:p w14:paraId="59EA6C6F" w14:textId="77777777" w:rsidR="008F16DE" w:rsidRDefault="008F16DE" w:rsidP="008F16DE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7A3745E" w14:textId="77777777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14:paraId="577D1CAF" w14:textId="244FBC45" w:rsidR="00E46387" w:rsidRPr="00E46387" w:rsidRDefault="00E4523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>
        <w:rPr>
          <w:b w:val="0"/>
        </w:rPr>
        <w:instrText xml:space="preserve"> FORMCHECKBOX </w:instrText>
      </w:r>
      <w:r w:rsidR="0089534C">
        <w:rPr>
          <w:b w:val="0"/>
        </w:rPr>
      </w:r>
      <w:r w:rsidR="0089534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4574AD92" w14:textId="7B0BDCF9" w:rsidR="00E45233" w:rsidRDefault="00C001DD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rPr>
          <w:b w:val="0"/>
          <w:bCs/>
        </w:rPr>
      </w:pPr>
      <w:r>
        <w:rPr>
          <w:b w:val="0"/>
          <w:bCs/>
        </w:rPr>
        <w:t>The services are valued, which is why they are currently funded</w:t>
      </w:r>
      <w:r w:rsidR="00930B92">
        <w:rPr>
          <w:b w:val="0"/>
          <w:bCs/>
        </w:rPr>
        <w:t xml:space="preserve">. </w:t>
      </w:r>
    </w:p>
    <w:p w14:paraId="04193D74" w14:textId="57573879" w:rsidR="00E45233" w:rsidRDefault="00E45233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rPr>
          <w:b w:val="0"/>
          <w:bCs/>
        </w:rPr>
      </w:pPr>
    </w:p>
    <w:p w14:paraId="4C22517D" w14:textId="2819A429" w:rsidR="00E46387" w:rsidRDefault="00E46387">
      <w:pPr>
        <w:rPr>
          <w:b/>
          <w:sz w:val="32"/>
          <w:szCs w:val="32"/>
        </w:rPr>
      </w:pPr>
    </w:p>
    <w:p w14:paraId="5B9CFD87" w14:textId="77777777" w:rsidR="00CB442F" w:rsidRPr="006A0C56" w:rsidRDefault="00CB442F" w:rsidP="006A0C56">
      <w:pPr>
        <w:pStyle w:val="Heading1"/>
      </w:pPr>
      <w:r w:rsidRPr="006A0C56">
        <w:t xml:space="preserve">PART 4 – COST INFORMATION FOR THE PROPOSED MEDICAL SERVICE </w:t>
      </w:r>
    </w:p>
    <w:p w14:paraId="30B70B12" w14:textId="77777777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  <w:r w:rsidR="0025428B" w:rsidRPr="0045348B">
        <w:rPr>
          <w:b w:val="0"/>
        </w:rPr>
        <w:t>MSAC is transitioning to new application forms</w:t>
      </w:r>
      <w:r w:rsidR="001B169C">
        <w:rPr>
          <w:b w:val="0"/>
        </w:rPr>
        <w:t xml:space="preserve"> </w:t>
      </w:r>
      <w:r w:rsidR="0025428B" w:rsidRPr="0045348B">
        <w:rPr>
          <w:b w:val="0"/>
        </w:rPr>
        <w:t xml:space="preserve">so the relevant </w:t>
      </w:r>
      <w:r w:rsidR="0025428B">
        <w:rPr>
          <w:b w:val="0"/>
        </w:rPr>
        <w:t>q</w:t>
      </w:r>
      <w:r w:rsidR="0025428B" w:rsidRPr="0045348B">
        <w:rPr>
          <w:b w:val="0"/>
        </w:rPr>
        <w:t>uestion in the application form will vary depending on the version used.  For medical services on the MBS, see question 51</w:t>
      </w:r>
      <w:r w:rsidR="001B169C">
        <w:rPr>
          <w:b w:val="0"/>
        </w:rPr>
        <w:t xml:space="preserve"> </w:t>
      </w:r>
      <w:r w:rsidR="0025428B" w:rsidRPr="0045348B">
        <w:rPr>
          <w:b w:val="0"/>
        </w:rPr>
        <w:t>or 53.  For medical services seeking funding from a source other than the MBS, see question 52 (</w:t>
      </w:r>
      <w:r w:rsidR="001B169C">
        <w:rPr>
          <w:b w:val="0"/>
        </w:rPr>
        <w:t xml:space="preserve">new </w:t>
      </w:r>
      <w:r w:rsidR="0025428B" w:rsidRPr="0045348B">
        <w:rPr>
          <w:b w:val="0"/>
        </w:rPr>
        <w:t xml:space="preserve">application forms </w:t>
      </w:r>
      <w:proofErr w:type="gramStart"/>
      <w:r w:rsidR="0025428B" w:rsidRPr="0045348B">
        <w:rPr>
          <w:b w:val="0"/>
        </w:rPr>
        <w:t>only</w:t>
      </w:r>
      <w:r w:rsidR="001B169C">
        <w:rPr>
          <w:b w:val="0"/>
        </w:rPr>
        <w:t>—labelled</w:t>
      </w:r>
      <w:proofErr w:type="gramEnd"/>
      <w:r w:rsidR="001B169C">
        <w:rPr>
          <w:b w:val="0"/>
        </w:rPr>
        <w:t xml:space="preserve"> v. 2.5</w:t>
      </w:r>
      <w:r w:rsidR="0025428B" w:rsidRPr="0045348B">
        <w:rPr>
          <w:b w:val="0"/>
        </w:rPr>
        <w:t xml:space="preserve">). </w:t>
      </w:r>
      <w:r w:rsidRPr="0045348B">
        <w:rPr>
          <w:b w:val="0"/>
        </w:rPr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7F6760A7" w14:textId="6841FECD" w:rsidR="00E46387" w:rsidRPr="00E46387" w:rsidRDefault="00EE51D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>
        <w:rPr>
          <w:b w:val="0"/>
        </w:rPr>
        <w:instrText xml:space="preserve"> FORMCHECKBOX </w:instrText>
      </w:r>
      <w:r w:rsidR="0089534C">
        <w:rPr>
          <w:b w:val="0"/>
        </w:rPr>
      </w:r>
      <w:r w:rsidR="0089534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0F76A8A5" w14:textId="7F73CA71" w:rsidR="00205CE8" w:rsidRPr="00EB4C72" w:rsidRDefault="00C838FF" w:rsidP="00EB4C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  <w:rPr>
          <w:b w:val="0"/>
          <w:bCs/>
        </w:rPr>
      </w:pPr>
      <w:r>
        <w:rPr>
          <w:b w:val="0"/>
          <w:bCs/>
        </w:rPr>
        <w:t>n/a</w:t>
      </w:r>
    </w:p>
    <w:p w14:paraId="0028BB2A" w14:textId="77777777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  <w:r w:rsidR="0025428B">
        <w:rPr>
          <w:b w:val="0"/>
        </w:rPr>
        <w:t xml:space="preserve">MSAC is transitioning to new application forms, so the relevant question in the application form will vary depending on the version used.  For medical services </w:t>
      </w:r>
      <w:r w:rsidR="0025428B">
        <w:rPr>
          <w:b w:val="0"/>
        </w:rPr>
        <w:lastRenderedPageBreak/>
        <w:t xml:space="preserve">on the MBS, see question 51 or </w:t>
      </w:r>
      <w:r w:rsidR="001B169C" w:rsidRPr="0045348B">
        <w:rPr>
          <w:b w:val="0"/>
        </w:rPr>
        <w:t>53.  For medical services seeking funding from a source other than the MBS, see question</w:t>
      </w:r>
      <w:r w:rsidR="001B169C" w:rsidRPr="00F55DDA">
        <w:rPr>
          <w:b w:val="0"/>
        </w:rPr>
        <w:t xml:space="preserve"> 52 (new application forms </w:t>
      </w:r>
      <w:proofErr w:type="gramStart"/>
      <w:r w:rsidR="001B169C" w:rsidRPr="00F55DDA">
        <w:rPr>
          <w:b w:val="0"/>
        </w:rPr>
        <w:t>only</w:t>
      </w:r>
      <w:r w:rsidR="001B169C" w:rsidRPr="0045348B">
        <w:rPr>
          <w:b w:val="0"/>
        </w:rPr>
        <w:t>—labelled</w:t>
      </w:r>
      <w:proofErr w:type="gramEnd"/>
      <w:r w:rsidR="001B169C" w:rsidRPr="0045348B">
        <w:rPr>
          <w:b w:val="0"/>
        </w:rPr>
        <w:t xml:space="preserve"> v. 2.5)</w:t>
      </w:r>
      <w:r w:rsidR="001B169C">
        <w:rPr>
          <w:b w:val="0"/>
        </w:rPr>
        <w:t>.</w:t>
      </w:r>
    </w:p>
    <w:p w14:paraId="56E3EED1" w14:textId="41AC96BF" w:rsidR="00E46387" w:rsidRPr="00E46387" w:rsidRDefault="00EE51D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>
        <w:rPr>
          <w:b w:val="0"/>
        </w:rPr>
        <w:instrText xml:space="preserve"> FORMCHECKBOX </w:instrText>
      </w:r>
      <w:r w:rsidR="0089534C">
        <w:rPr>
          <w:b w:val="0"/>
        </w:rPr>
      </w:r>
      <w:r w:rsidR="0089534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532C95" w14:textId="3875B41E" w:rsidR="00E45233" w:rsidRDefault="00E45233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  <w:rPr>
          <w:b w:val="0"/>
          <w:bCs/>
        </w:rPr>
      </w:pPr>
      <w:r w:rsidRPr="00E45233">
        <w:rPr>
          <w:b w:val="0"/>
          <w:bCs/>
        </w:rPr>
        <w:t>There is no service fee proposed</w:t>
      </w:r>
      <w:r w:rsidR="0019126E">
        <w:rPr>
          <w:b w:val="0"/>
          <w:bCs/>
        </w:rPr>
        <w:t xml:space="preserve">. </w:t>
      </w:r>
      <w:r>
        <w:rPr>
          <w:b w:val="0"/>
          <w:bCs/>
        </w:rPr>
        <w:t xml:space="preserve">All that is provided is </w:t>
      </w:r>
      <w:r w:rsidRPr="00E45233">
        <w:rPr>
          <w:b w:val="0"/>
          <w:bCs/>
        </w:rPr>
        <w:t xml:space="preserve">a </w:t>
      </w:r>
      <w:r>
        <w:rPr>
          <w:b w:val="0"/>
          <w:bCs/>
        </w:rPr>
        <w:t xml:space="preserve">reference to a </w:t>
      </w:r>
      <w:r w:rsidRPr="00E45233">
        <w:rPr>
          <w:b w:val="0"/>
          <w:bCs/>
        </w:rPr>
        <w:t xml:space="preserve">review </w:t>
      </w:r>
      <w:r w:rsidR="00F7601E">
        <w:rPr>
          <w:b w:val="0"/>
          <w:bCs/>
        </w:rPr>
        <w:t>which</w:t>
      </w:r>
      <w:r w:rsidRPr="00E45233">
        <w:rPr>
          <w:b w:val="0"/>
          <w:bCs/>
        </w:rPr>
        <w:t xml:space="preserve"> contradicts the findings of the expert committee</w:t>
      </w:r>
      <w:r>
        <w:rPr>
          <w:b w:val="0"/>
          <w:bCs/>
        </w:rPr>
        <w:t xml:space="preserve"> from the Cardiac IWG </w:t>
      </w:r>
      <w:r w:rsidR="0019126E">
        <w:rPr>
          <w:b w:val="0"/>
          <w:bCs/>
        </w:rPr>
        <w:t>which examined these issues two years ago.</w:t>
      </w:r>
    </w:p>
    <w:p w14:paraId="7D51DBB8" w14:textId="77777777" w:rsidR="00E45233" w:rsidRDefault="00E45233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  <w:rPr>
          <w:b w:val="0"/>
          <w:bCs/>
        </w:rPr>
      </w:pPr>
    </w:p>
    <w:p w14:paraId="089DA2C3" w14:textId="0C28DC64" w:rsidR="009668FA" w:rsidRDefault="009668FA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  <w:rPr>
          <w:b w:val="0"/>
          <w:bCs/>
        </w:rPr>
      </w:pPr>
      <w:r>
        <w:rPr>
          <w:b w:val="0"/>
          <w:bCs/>
        </w:rPr>
        <w:t>The MBS provides a benefit for performing this check of $55.30 (MBS 11721), yet the application appears to argue that the technicians’ time is more valuable</w:t>
      </w:r>
      <w:r w:rsidR="00E17E0A">
        <w:rPr>
          <w:b w:val="0"/>
          <w:bCs/>
        </w:rPr>
        <w:t xml:space="preserve">. </w:t>
      </w:r>
    </w:p>
    <w:p w14:paraId="2AAF50A2" w14:textId="77777777" w:rsidR="00AC0BAC" w:rsidRPr="00E45233" w:rsidRDefault="00AC0BAC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  <w:rPr>
          <w:b w:val="0"/>
          <w:bCs/>
        </w:rPr>
      </w:pPr>
    </w:p>
    <w:p w14:paraId="077AB672" w14:textId="77777777" w:rsidR="00AC0BAC" w:rsidRDefault="00AC0BAC" w:rsidP="00894FE1">
      <w:pPr>
        <w:rPr>
          <w:b/>
          <w:bCs/>
          <w:sz w:val="32"/>
          <w:szCs w:val="32"/>
        </w:rPr>
      </w:pPr>
    </w:p>
    <w:p w14:paraId="00FAEA7F" w14:textId="549F89EA" w:rsidR="0098185C" w:rsidRPr="00894FE1" w:rsidRDefault="0098185C" w:rsidP="00894FE1">
      <w:pPr>
        <w:rPr>
          <w:b/>
          <w:bCs/>
          <w:sz w:val="32"/>
          <w:szCs w:val="32"/>
        </w:rPr>
      </w:pPr>
      <w:r w:rsidRPr="00894FE1">
        <w:rPr>
          <w:b/>
          <w:bCs/>
          <w:sz w:val="32"/>
          <w:szCs w:val="32"/>
        </w:rPr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5D4F600B" w14:textId="06401551" w:rsidR="005A4A3A" w:rsidRPr="0081706D" w:rsidRDefault="005A4A3A" w:rsidP="0081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0"/>
          <w:szCs w:val="20"/>
        </w:rPr>
      </w:pPr>
      <w:r w:rsidRPr="005A4A3A">
        <w:rPr>
          <w:sz w:val="20"/>
          <w:szCs w:val="20"/>
        </w:rPr>
        <w:t xml:space="preserve">PHA </w:t>
      </w:r>
      <w:r w:rsidR="00E17E0A">
        <w:rPr>
          <w:sz w:val="20"/>
          <w:szCs w:val="20"/>
        </w:rPr>
        <w:t xml:space="preserve">is yet to be told why people with private health insurance should be paying a 20% surcharge for CIEDs above prices paid by public patients </w:t>
      </w:r>
      <w:r w:rsidR="00E17E0A" w:rsidRPr="00917657">
        <w:rPr>
          <w:sz w:val="20"/>
          <w:szCs w:val="20"/>
        </w:rPr>
        <w:t>for these devices</w:t>
      </w:r>
      <w:r w:rsidR="003251BA" w:rsidRPr="00917657">
        <w:rPr>
          <w:sz w:val="20"/>
          <w:szCs w:val="20"/>
        </w:rPr>
        <w:t xml:space="preserve">. </w:t>
      </w:r>
      <w:r w:rsidR="0074374C" w:rsidRPr="00917657">
        <w:rPr>
          <w:sz w:val="20"/>
          <w:szCs w:val="20"/>
        </w:rPr>
        <w:t>PHA would welcome MSAC advis</w:t>
      </w:r>
      <w:r w:rsidR="00324F3B" w:rsidRPr="00917657">
        <w:rPr>
          <w:sz w:val="20"/>
          <w:szCs w:val="20"/>
        </w:rPr>
        <w:t>ing</w:t>
      </w:r>
      <w:r w:rsidR="0074374C" w:rsidRPr="00917657">
        <w:rPr>
          <w:sz w:val="20"/>
          <w:szCs w:val="20"/>
        </w:rPr>
        <w:t xml:space="preserve"> government on </w:t>
      </w:r>
      <w:r w:rsidR="00324F3B" w:rsidRPr="00917657">
        <w:rPr>
          <w:sz w:val="20"/>
          <w:szCs w:val="20"/>
        </w:rPr>
        <w:t>the HTA value of this surcharge.</w:t>
      </w:r>
      <w:r w:rsidR="00324F3B">
        <w:rPr>
          <w:b/>
          <w:bCs/>
          <w:sz w:val="20"/>
          <w:szCs w:val="20"/>
        </w:rPr>
        <w:t xml:space="preserve"> </w:t>
      </w:r>
      <w:r w:rsidRPr="005A4A3A">
        <w:rPr>
          <w:rFonts w:eastAsiaTheme="minorEastAsia" w:cs="Calibri"/>
          <w:lang w:eastAsia="zh-CN"/>
        </w:rPr>
        <w:fldChar w:fldCharType="begin"/>
      </w:r>
      <w:r w:rsidRPr="005A4A3A">
        <w:rPr>
          <w:rFonts w:eastAsiaTheme="minorEastAsia" w:cs="Calibri"/>
          <w:lang w:eastAsia="zh-CN"/>
        </w:rPr>
        <w:instrText xml:space="preserve"> INCLUDEPICTURE "cid:image010.png@01D8E7BD.61E60790" \* MERGEFORMATINET </w:instrText>
      </w:r>
      <w:r w:rsidR="0089534C">
        <w:rPr>
          <w:rFonts w:eastAsiaTheme="minorEastAsia" w:cs="Calibri"/>
          <w:lang w:eastAsia="zh-CN"/>
        </w:rPr>
        <w:fldChar w:fldCharType="separate"/>
      </w:r>
      <w:r w:rsidRPr="005A4A3A">
        <w:rPr>
          <w:rFonts w:eastAsiaTheme="minorEastAsia" w:cs="Calibri"/>
          <w:lang w:eastAsia="zh-CN"/>
        </w:rPr>
        <w:fldChar w:fldCharType="end"/>
      </w: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04DCE68B" w:rsidR="00FC7A07" w:rsidRPr="00917657" w:rsidRDefault="0091765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rPr>
          <w:b w:val="0"/>
          <w:bCs/>
        </w:rPr>
      </w:pPr>
      <w:r w:rsidRPr="00917657">
        <w:rPr>
          <w:b w:val="0"/>
          <w:bCs/>
        </w:rPr>
        <w:t xml:space="preserve">Nil comment. </w:t>
      </w:r>
    </w:p>
    <w:p w14:paraId="6F419ECD" w14:textId="77777777" w:rsidR="00917657" w:rsidRDefault="0091765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5AC6A8A6" w:rsidR="00F62626" w:rsidRPr="00B87883" w:rsidRDefault="00F62626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</w:p>
    <w:sectPr w:rsidR="00F62626" w:rsidRPr="00B87883" w:rsidSect="00A32F3E">
      <w:footerReference w:type="default" r:id="rId19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78C2" w14:textId="77777777" w:rsidR="0089534C" w:rsidRDefault="0089534C" w:rsidP="00074E40">
      <w:r>
        <w:separator/>
      </w:r>
    </w:p>
  </w:endnote>
  <w:endnote w:type="continuationSeparator" w:id="0">
    <w:p w14:paraId="12B73F68" w14:textId="77777777" w:rsidR="0089534C" w:rsidRDefault="0089534C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0368" w14:textId="77777777" w:rsidR="0089534C" w:rsidRDefault="0089534C" w:rsidP="00074E40">
      <w:r>
        <w:separator/>
      </w:r>
    </w:p>
  </w:footnote>
  <w:footnote w:type="continuationSeparator" w:id="0">
    <w:p w14:paraId="7A901232" w14:textId="77777777" w:rsidR="0089534C" w:rsidRDefault="0089534C" w:rsidP="00074E40">
      <w:r>
        <w:continuationSeparator/>
      </w:r>
    </w:p>
  </w:footnote>
  <w:footnote w:id="1">
    <w:p w14:paraId="3FDA9DCD" w14:textId="77777777" w:rsidR="009A0A4D" w:rsidRPr="005C4FD6" w:rsidRDefault="009A0A4D" w:rsidP="009A0A4D">
      <w:pPr>
        <w:pStyle w:val="FootnoteText"/>
        <w:rPr>
          <w:sz w:val="16"/>
          <w:szCs w:val="16"/>
        </w:rPr>
      </w:pPr>
      <w:r w:rsidRPr="005C4FD6">
        <w:rPr>
          <w:rStyle w:val="FootnoteReference"/>
          <w:sz w:val="16"/>
          <w:szCs w:val="16"/>
        </w:rPr>
        <w:footnoteRef/>
      </w:r>
      <w:r w:rsidRPr="005C4F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Furnival A, et.al </w:t>
      </w:r>
      <w:r w:rsidRPr="005C4FD6">
        <w:rPr>
          <w:i/>
          <w:iCs/>
          <w:sz w:val="16"/>
          <w:szCs w:val="16"/>
        </w:rPr>
        <w:t>“Price comparison of the Australian Private Prostheses List with 8 international markets”</w:t>
      </w:r>
      <w:r>
        <w:rPr>
          <w:sz w:val="16"/>
          <w:szCs w:val="16"/>
        </w:rPr>
        <w:t xml:space="preserve"> 22/2/22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147BF"/>
    <w:rsid w:val="0002519C"/>
    <w:rsid w:val="00030096"/>
    <w:rsid w:val="00034719"/>
    <w:rsid w:val="00047D24"/>
    <w:rsid w:val="0005253D"/>
    <w:rsid w:val="000551AE"/>
    <w:rsid w:val="00071AC7"/>
    <w:rsid w:val="00074E40"/>
    <w:rsid w:val="000824B9"/>
    <w:rsid w:val="000A4BDD"/>
    <w:rsid w:val="000A74BE"/>
    <w:rsid w:val="000B0CEC"/>
    <w:rsid w:val="000B686B"/>
    <w:rsid w:val="000C5AB5"/>
    <w:rsid w:val="000C6DEB"/>
    <w:rsid w:val="000D5278"/>
    <w:rsid w:val="000D677D"/>
    <w:rsid w:val="000E53A4"/>
    <w:rsid w:val="0010233F"/>
    <w:rsid w:val="00114D6C"/>
    <w:rsid w:val="00124A1D"/>
    <w:rsid w:val="00124E77"/>
    <w:rsid w:val="00126C7D"/>
    <w:rsid w:val="00133B27"/>
    <w:rsid w:val="00136289"/>
    <w:rsid w:val="00143399"/>
    <w:rsid w:val="001449A5"/>
    <w:rsid w:val="00167C5B"/>
    <w:rsid w:val="00171109"/>
    <w:rsid w:val="00174DD7"/>
    <w:rsid w:val="0019126E"/>
    <w:rsid w:val="001A1520"/>
    <w:rsid w:val="001A4B8C"/>
    <w:rsid w:val="001B0438"/>
    <w:rsid w:val="001B169C"/>
    <w:rsid w:val="001B3443"/>
    <w:rsid w:val="001B6F1A"/>
    <w:rsid w:val="001B7892"/>
    <w:rsid w:val="001C26F8"/>
    <w:rsid w:val="001C5058"/>
    <w:rsid w:val="001D4F4D"/>
    <w:rsid w:val="001E479B"/>
    <w:rsid w:val="001F1FCD"/>
    <w:rsid w:val="001F5F93"/>
    <w:rsid w:val="00200684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86F2F"/>
    <w:rsid w:val="00295CC4"/>
    <w:rsid w:val="002B5A02"/>
    <w:rsid w:val="002C4A25"/>
    <w:rsid w:val="002D0080"/>
    <w:rsid w:val="002D0D31"/>
    <w:rsid w:val="002D382D"/>
    <w:rsid w:val="002D456E"/>
    <w:rsid w:val="002F31E4"/>
    <w:rsid w:val="00306BBC"/>
    <w:rsid w:val="0030786C"/>
    <w:rsid w:val="00310EEE"/>
    <w:rsid w:val="00313501"/>
    <w:rsid w:val="00320B55"/>
    <w:rsid w:val="00324F3B"/>
    <w:rsid w:val="003251BA"/>
    <w:rsid w:val="00334B5F"/>
    <w:rsid w:val="00352426"/>
    <w:rsid w:val="00355778"/>
    <w:rsid w:val="00360FB9"/>
    <w:rsid w:val="00367031"/>
    <w:rsid w:val="003B3CC2"/>
    <w:rsid w:val="003F5DBA"/>
    <w:rsid w:val="00406A3C"/>
    <w:rsid w:val="00406DFA"/>
    <w:rsid w:val="0040785E"/>
    <w:rsid w:val="00414CC0"/>
    <w:rsid w:val="0043169C"/>
    <w:rsid w:val="0045348B"/>
    <w:rsid w:val="004607A9"/>
    <w:rsid w:val="0046546F"/>
    <w:rsid w:val="00465BB9"/>
    <w:rsid w:val="004667F9"/>
    <w:rsid w:val="00485376"/>
    <w:rsid w:val="004867E2"/>
    <w:rsid w:val="0049195B"/>
    <w:rsid w:val="004B2704"/>
    <w:rsid w:val="004B2E7B"/>
    <w:rsid w:val="004B44A9"/>
    <w:rsid w:val="004C5485"/>
    <w:rsid w:val="004D753A"/>
    <w:rsid w:val="004E0909"/>
    <w:rsid w:val="004F229D"/>
    <w:rsid w:val="004F4704"/>
    <w:rsid w:val="0050259E"/>
    <w:rsid w:val="00513486"/>
    <w:rsid w:val="00513CF8"/>
    <w:rsid w:val="00515E36"/>
    <w:rsid w:val="00522ADD"/>
    <w:rsid w:val="00532D34"/>
    <w:rsid w:val="00533236"/>
    <w:rsid w:val="005362A1"/>
    <w:rsid w:val="005456EE"/>
    <w:rsid w:val="005633BC"/>
    <w:rsid w:val="00575E81"/>
    <w:rsid w:val="00581E0F"/>
    <w:rsid w:val="00585D5F"/>
    <w:rsid w:val="005A4A3A"/>
    <w:rsid w:val="005B0D75"/>
    <w:rsid w:val="005B3BB8"/>
    <w:rsid w:val="005C4FD6"/>
    <w:rsid w:val="005D6728"/>
    <w:rsid w:val="005E418E"/>
    <w:rsid w:val="005F5875"/>
    <w:rsid w:val="0060042B"/>
    <w:rsid w:val="00605C6C"/>
    <w:rsid w:val="00622992"/>
    <w:rsid w:val="00643AC3"/>
    <w:rsid w:val="006530F2"/>
    <w:rsid w:val="00680F8D"/>
    <w:rsid w:val="00693E52"/>
    <w:rsid w:val="00696F93"/>
    <w:rsid w:val="006A0C56"/>
    <w:rsid w:val="006B695A"/>
    <w:rsid w:val="006F4185"/>
    <w:rsid w:val="006F7B65"/>
    <w:rsid w:val="006F7C0A"/>
    <w:rsid w:val="00706620"/>
    <w:rsid w:val="0071642D"/>
    <w:rsid w:val="007172D3"/>
    <w:rsid w:val="0071733F"/>
    <w:rsid w:val="00732F6E"/>
    <w:rsid w:val="0074374C"/>
    <w:rsid w:val="00752EC8"/>
    <w:rsid w:val="007648B1"/>
    <w:rsid w:val="0076780B"/>
    <w:rsid w:val="00771BCB"/>
    <w:rsid w:val="00794B52"/>
    <w:rsid w:val="007A519D"/>
    <w:rsid w:val="007A7B4A"/>
    <w:rsid w:val="007B367F"/>
    <w:rsid w:val="007B5A0E"/>
    <w:rsid w:val="007C53FF"/>
    <w:rsid w:val="007D7B30"/>
    <w:rsid w:val="007E0A95"/>
    <w:rsid w:val="007F1AE5"/>
    <w:rsid w:val="007F3A58"/>
    <w:rsid w:val="00802B24"/>
    <w:rsid w:val="00803E2E"/>
    <w:rsid w:val="00805CC2"/>
    <w:rsid w:val="00810517"/>
    <w:rsid w:val="00811D6A"/>
    <w:rsid w:val="0081706D"/>
    <w:rsid w:val="008264EB"/>
    <w:rsid w:val="00826648"/>
    <w:rsid w:val="008317BF"/>
    <w:rsid w:val="00846DBC"/>
    <w:rsid w:val="00867034"/>
    <w:rsid w:val="008678B9"/>
    <w:rsid w:val="00881753"/>
    <w:rsid w:val="0088396F"/>
    <w:rsid w:val="00894FE1"/>
    <w:rsid w:val="0089534C"/>
    <w:rsid w:val="008A0495"/>
    <w:rsid w:val="008C1ECD"/>
    <w:rsid w:val="008D4CFC"/>
    <w:rsid w:val="008F16DE"/>
    <w:rsid w:val="00906709"/>
    <w:rsid w:val="00917657"/>
    <w:rsid w:val="009206ED"/>
    <w:rsid w:val="009212C3"/>
    <w:rsid w:val="00924C82"/>
    <w:rsid w:val="00930B92"/>
    <w:rsid w:val="009348D2"/>
    <w:rsid w:val="00961175"/>
    <w:rsid w:val="00961902"/>
    <w:rsid w:val="0096315A"/>
    <w:rsid w:val="009668FA"/>
    <w:rsid w:val="00970712"/>
    <w:rsid w:val="00975FFB"/>
    <w:rsid w:val="0098185C"/>
    <w:rsid w:val="00983FB1"/>
    <w:rsid w:val="00991EDD"/>
    <w:rsid w:val="009936B5"/>
    <w:rsid w:val="009A0A4D"/>
    <w:rsid w:val="009D50E3"/>
    <w:rsid w:val="009D510B"/>
    <w:rsid w:val="009E67A8"/>
    <w:rsid w:val="009F2F88"/>
    <w:rsid w:val="009F7044"/>
    <w:rsid w:val="00A03C8D"/>
    <w:rsid w:val="00A05331"/>
    <w:rsid w:val="00A236B8"/>
    <w:rsid w:val="00A30610"/>
    <w:rsid w:val="00A32F3E"/>
    <w:rsid w:val="00A40E72"/>
    <w:rsid w:val="00A63E1F"/>
    <w:rsid w:val="00A6509E"/>
    <w:rsid w:val="00A70C2A"/>
    <w:rsid w:val="00A73255"/>
    <w:rsid w:val="00A74450"/>
    <w:rsid w:val="00A74F06"/>
    <w:rsid w:val="00A8234F"/>
    <w:rsid w:val="00A837ED"/>
    <w:rsid w:val="00A94160"/>
    <w:rsid w:val="00AC0BAC"/>
    <w:rsid w:val="00AC1D5E"/>
    <w:rsid w:val="00AC4E7C"/>
    <w:rsid w:val="00AD1900"/>
    <w:rsid w:val="00AD305A"/>
    <w:rsid w:val="00AE1D1E"/>
    <w:rsid w:val="00AE2B96"/>
    <w:rsid w:val="00AE41B6"/>
    <w:rsid w:val="00AF17D2"/>
    <w:rsid w:val="00B00AE5"/>
    <w:rsid w:val="00B12E77"/>
    <w:rsid w:val="00B23810"/>
    <w:rsid w:val="00B356E4"/>
    <w:rsid w:val="00B4018D"/>
    <w:rsid w:val="00B42851"/>
    <w:rsid w:val="00B54FFE"/>
    <w:rsid w:val="00B6619E"/>
    <w:rsid w:val="00B666D8"/>
    <w:rsid w:val="00B72586"/>
    <w:rsid w:val="00B72E6B"/>
    <w:rsid w:val="00B87883"/>
    <w:rsid w:val="00B87EDD"/>
    <w:rsid w:val="00BA1D7C"/>
    <w:rsid w:val="00BB5448"/>
    <w:rsid w:val="00BB6192"/>
    <w:rsid w:val="00BD02E8"/>
    <w:rsid w:val="00BE0D0F"/>
    <w:rsid w:val="00BF2D63"/>
    <w:rsid w:val="00C001DD"/>
    <w:rsid w:val="00C1596D"/>
    <w:rsid w:val="00C325C4"/>
    <w:rsid w:val="00C348B4"/>
    <w:rsid w:val="00C3562F"/>
    <w:rsid w:val="00C35F68"/>
    <w:rsid w:val="00C4028D"/>
    <w:rsid w:val="00C445C0"/>
    <w:rsid w:val="00C50BF8"/>
    <w:rsid w:val="00C67D98"/>
    <w:rsid w:val="00C755D8"/>
    <w:rsid w:val="00C838FF"/>
    <w:rsid w:val="00C94566"/>
    <w:rsid w:val="00C97B76"/>
    <w:rsid w:val="00CA734F"/>
    <w:rsid w:val="00CB2E9E"/>
    <w:rsid w:val="00CB442F"/>
    <w:rsid w:val="00CB5B1A"/>
    <w:rsid w:val="00CB5C61"/>
    <w:rsid w:val="00CC545A"/>
    <w:rsid w:val="00CE11C4"/>
    <w:rsid w:val="00CE5B1F"/>
    <w:rsid w:val="00D1023E"/>
    <w:rsid w:val="00D13EEB"/>
    <w:rsid w:val="00D15E0E"/>
    <w:rsid w:val="00D160E0"/>
    <w:rsid w:val="00D24980"/>
    <w:rsid w:val="00D321B7"/>
    <w:rsid w:val="00D36FD6"/>
    <w:rsid w:val="00D37339"/>
    <w:rsid w:val="00D37400"/>
    <w:rsid w:val="00D446F4"/>
    <w:rsid w:val="00D51FDD"/>
    <w:rsid w:val="00D5625B"/>
    <w:rsid w:val="00D75C2D"/>
    <w:rsid w:val="00D83C8D"/>
    <w:rsid w:val="00D8413A"/>
    <w:rsid w:val="00D97F58"/>
    <w:rsid w:val="00DA6E1F"/>
    <w:rsid w:val="00DB54FB"/>
    <w:rsid w:val="00DB774C"/>
    <w:rsid w:val="00DC2B56"/>
    <w:rsid w:val="00DD08BA"/>
    <w:rsid w:val="00DD40D5"/>
    <w:rsid w:val="00DD70C5"/>
    <w:rsid w:val="00DE1ED4"/>
    <w:rsid w:val="00DF1CBF"/>
    <w:rsid w:val="00E068FA"/>
    <w:rsid w:val="00E10D9E"/>
    <w:rsid w:val="00E17E0A"/>
    <w:rsid w:val="00E20405"/>
    <w:rsid w:val="00E3025D"/>
    <w:rsid w:val="00E30923"/>
    <w:rsid w:val="00E36428"/>
    <w:rsid w:val="00E37B85"/>
    <w:rsid w:val="00E43854"/>
    <w:rsid w:val="00E45233"/>
    <w:rsid w:val="00E46387"/>
    <w:rsid w:val="00E545BD"/>
    <w:rsid w:val="00E634E9"/>
    <w:rsid w:val="00E836E1"/>
    <w:rsid w:val="00EA3ED8"/>
    <w:rsid w:val="00EA686B"/>
    <w:rsid w:val="00EA782B"/>
    <w:rsid w:val="00EB4C72"/>
    <w:rsid w:val="00EB60EE"/>
    <w:rsid w:val="00EC0E93"/>
    <w:rsid w:val="00EE235F"/>
    <w:rsid w:val="00EE51D8"/>
    <w:rsid w:val="00F077FD"/>
    <w:rsid w:val="00F15715"/>
    <w:rsid w:val="00F2267A"/>
    <w:rsid w:val="00F22AEB"/>
    <w:rsid w:val="00F26973"/>
    <w:rsid w:val="00F42669"/>
    <w:rsid w:val="00F45A8B"/>
    <w:rsid w:val="00F5539D"/>
    <w:rsid w:val="00F55DDA"/>
    <w:rsid w:val="00F61DCC"/>
    <w:rsid w:val="00F62626"/>
    <w:rsid w:val="00F62944"/>
    <w:rsid w:val="00F72386"/>
    <w:rsid w:val="00F7601E"/>
    <w:rsid w:val="00F87F19"/>
    <w:rsid w:val="00F910B5"/>
    <w:rsid w:val="00F9559D"/>
    <w:rsid w:val="00FB150B"/>
    <w:rsid w:val="00FB24C0"/>
    <w:rsid w:val="00FB5774"/>
    <w:rsid w:val="00FC3364"/>
    <w:rsid w:val="00FC743B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5C4F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FD6"/>
    <w:rPr>
      <w:rFonts w:ascii="Calibri" w:eastAsiaTheme="minorHAns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5C4FD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D08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94F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ommentsMSAC@health.gov.au" TargetMode="External"/><Relationship Id="rId17" Type="http://schemas.openxmlformats.org/officeDocument/2006/relationships/hyperlink" Target="https://www.medtronic.com/au-en/patients/treatments-therapies/remote-monitoring/follow-your-heart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entsMSAC@health.gov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://www.msac.gov.au/internet/msac/publishing.nsf/Content/Home-1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299E3131A5A4CB5E2C9BB199FA752" ma:contentTypeVersion="16" ma:contentTypeDescription="Create a new document." ma:contentTypeScope="" ma:versionID="39005a887dd7872e99ca56377872fef5">
  <xsd:schema xmlns:xsd="http://www.w3.org/2001/XMLSchema" xmlns:xs="http://www.w3.org/2001/XMLSchema" xmlns:p="http://schemas.microsoft.com/office/2006/metadata/properties" xmlns:ns2="a84257a0-c5d1-4b7c-b823-9584ede885ce" xmlns:ns3="87c9c845-6d26-4054-879b-d33b5609ecad" targetNamespace="http://schemas.microsoft.com/office/2006/metadata/properties" ma:root="true" ma:fieldsID="fc614fa69775e71bd7fbe9ee6c95ab19" ns2:_="" ns3:_="">
    <xsd:import namespace="a84257a0-c5d1-4b7c-b823-9584ede885ce"/>
    <xsd:import namespace="87c9c845-6d26-4054-879b-d33b5609e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57a0-c5d1-4b7c-b823-9584ede88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b86028-869a-4531-97be-eeb62ee936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9c845-6d26-4054-879b-d33b5609e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adfd3b-bba7-42c2-9bd4-24b48f1446f3}" ma:internalName="TaxCatchAll" ma:showField="CatchAllData" ma:web="87c9c845-6d26-4054-879b-d33b5609e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c9c845-6d26-4054-879b-d33b5609ecad" xsi:nil="true"/>
    <lcf76f155ced4ddcb4097134ff3c332f xmlns="a84257a0-c5d1-4b7c-b823-9584ede885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9F8F9B-A9D8-49B8-8ED9-7856CFC99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57a0-c5d1-4b7c-b823-9584ede885ce"/>
    <ds:schemaRef ds:uri="87c9c845-6d26-4054-879b-d33b5609e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EF523-1958-46C6-BF6E-0D906A1F1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69A93-0F54-485A-934F-BFC7979E78A8}">
  <ds:schemaRefs>
    <ds:schemaRef ds:uri="http://schemas.microsoft.com/office/2006/metadata/properties"/>
    <ds:schemaRef ds:uri="http://schemas.microsoft.com/office/infopath/2007/PartnerControls"/>
    <ds:schemaRef ds:uri="87c9c845-6d26-4054-879b-d33b5609ecad"/>
    <ds:schemaRef ds:uri="a84257a0-c5d1-4b7c-b823-9584ede88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2022-12-16T01:53:00Z</dcterms:created>
  <dcterms:modified xsi:type="dcterms:W3CDTF">2022-12-16T01:53:00Z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0x010100BD4299E3131A5A4CB5E2C9BB199FA752</vt:lpwstr>
  </property>
  <property fmtid="{D5CDD505-2E9C-101B-9397-08002B2CF9AE}" pid="3" name="MediaServiceImageTags">
    <vt:lpwstr/>
  </property>
</Properties>
</file>